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A470" w14:textId="4E1117E9" w:rsidR="00A810E3" w:rsidRDefault="00A810E3" w:rsidP="00A810E3">
      <w:pPr>
        <w:spacing w:after="0"/>
        <w:jc w:val="center"/>
        <w:rPr>
          <w:rFonts w:ascii="Arial" w:hAnsi="Arial" w:cs="Arial"/>
        </w:rPr>
      </w:pPr>
      <w:r w:rsidRPr="00CE61B4">
        <w:rPr>
          <w:rFonts w:ascii="Arial" w:hAnsi="Arial" w:cs="Arial"/>
          <w:color w:val="FF0000"/>
        </w:rPr>
        <w:t xml:space="preserve">(PARA PROFESORES </w:t>
      </w:r>
      <w:r>
        <w:rPr>
          <w:rFonts w:ascii="Arial" w:hAnsi="Arial" w:cs="Arial"/>
          <w:color w:val="FF0000"/>
        </w:rPr>
        <w:t>AUXILIARES</w:t>
      </w:r>
      <w:r w:rsidR="00811D00">
        <w:rPr>
          <w:rFonts w:ascii="Arial" w:hAnsi="Arial" w:cs="Arial"/>
          <w:color w:val="FF0000"/>
        </w:rPr>
        <w:t xml:space="preserve">, </w:t>
      </w:r>
      <w:r>
        <w:rPr>
          <w:rFonts w:ascii="Arial" w:hAnsi="Arial" w:cs="Arial"/>
          <w:color w:val="FF0000"/>
        </w:rPr>
        <w:t>AGREGADOS</w:t>
      </w:r>
      <w:r w:rsidR="00811D00">
        <w:rPr>
          <w:rFonts w:ascii="Arial" w:hAnsi="Arial" w:cs="Arial"/>
          <w:color w:val="FF0000"/>
        </w:rPr>
        <w:t xml:space="preserve"> Y COORDINADORES</w:t>
      </w:r>
      <w:r w:rsidRPr="00CE61B4">
        <w:rPr>
          <w:rFonts w:ascii="Arial" w:hAnsi="Arial" w:cs="Arial"/>
          <w:color w:val="FF0000"/>
        </w:rPr>
        <w:t>)</w:t>
      </w:r>
    </w:p>
    <w:p w14:paraId="19A215F3" w14:textId="77777777" w:rsidR="00A810E3" w:rsidRDefault="00A810E3" w:rsidP="00F87CA6">
      <w:pPr>
        <w:spacing w:after="0"/>
        <w:jc w:val="both"/>
        <w:rPr>
          <w:rFonts w:ascii="Arial" w:hAnsi="Arial" w:cs="Arial"/>
        </w:rPr>
      </w:pPr>
    </w:p>
    <w:p w14:paraId="3AC52747" w14:textId="77777777" w:rsidR="00A810E3" w:rsidRDefault="00A810E3" w:rsidP="00F87CA6">
      <w:pPr>
        <w:spacing w:after="0"/>
        <w:jc w:val="both"/>
        <w:rPr>
          <w:rFonts w:ascii="Arial" w:hAnsi="Arial" w:cs="Arial"/>
        </w:rPr>
      </w:pPr>
    </w:p>
    <w:p w14:paraId="37A05777" w14:textId="7A30BCBA" w:rsidR="00F87CA6" w:rsidRDefault="00F87CA6" w:rsidP="00F87CA6">
      <w:pPr>
        <w:spacing w:after="0"/>
        <w:jc w:val="both"/>
        <w:rPr>
          <w:rFonts w:ascii="Arial" w:hAnsi="Arial" w:cs="Arial"/>
        </w:rPr>
      </w:pPr>
      <w:r>
        <w:rPr>
          <w:rFonts w:ascii="Arial" w:hAnsi="Arial" w:cs="Arial"/>
        </w:rPr>
        <w:t>Manta, …….. de ………… de 2019.</w:t>
      </w:r>
    </w:p>
    <w:p w14:paraId="1D485250" w14:textId="77777777" w:rsidR="00F87CA6" w:rsidRDefault="00F87CA6" w:rsidP="00F87CA6">
      <w:pPr>
        <w:spacing w:after="0"/>
        <w:jc w:val="both"/>
        <w:rPr>
          <w:rFonts w:ascii="Arial" w:hAnsi="Arial" w:cs="Arial"/>
        </w:rPr>
      </w:pPr>
    </w:p>
    <w:p w14:paraId="7A8A97FB" w14:textId="77777777" w:rsidR="00F87CA6" w:rsidRDefault="00F87CA6" w:rsidP="00F87CA6">
      <w:pPr>
        <w:spacing w:after="0"/>
        <w:jc w:val="both"/>
        <w:rPr>
          <w:rFonts w:ascii="Arial" w:hAnsi="Arial" w:cs="Arial"/>
        </w:rPr>
      </w:pPr>
    </w:p>
    <w:p w14:paraId="31F57EFB" w14:textId="77777777" w:rsidR="00F87CA6" w:rsidRDefault="00F87CA6" w:rsidP="00F87CA6">
      <w:pPr>
        <w:spacing w:after="0"/>
        <w:jc w:val="both"/>
        <w:rPr>
          <w:rFonts w:ascii="Arial" w:hAnsi="Arial" w:cs="Arial"/>
        </w:rPr>
      </w:pPr>
      <w:r>
        <w:rPr>
          <w:rFonts w:ascii="Arial" w:hAnsi="Arial" w:cs="Arial"/>
        </w:rPr>
        <w:t>CPA</w:t>
      </w:r>
    </w:p>
    <w:p w14:paraId="32153455" w14:textId="77777777" w:rsidR="00F87CA6" w:rsidRDefault="00F87CA6" w:rsidP="00F87CA6">
      <w:pPr>
        <w:spacing w:after="0"/>
        <w:jc w:val="both"/>
        <w:rPr>
          <w:rFonts w:ascii="Arial" w:hAnsi="Arial" w:cs="Arial"/>
        </w:rPr>
      </w:pPr>
      <w:r>
        <w:rPr>
          <w:rFonts w:ascii="Arial" w:hAnsi="Arial" w:cs="Arial"/>
        </w:rPr>
        <w:t>Adriana Drouet Murrieta</w:t>
      </w:r>
    </w:p>
    <w:p w14:paraId="72856FDA" w14:textId="77777777" w:rsidR="00F87CA6" w:rsidRDefault="00F87CA6" w:rsidP="00F87CA6">
      <w:pPr>
        <w:spacing w:after="0"/>
        <w:jc w:val="both"/>
        <w:rPr>
          <w:rFonts w:ascii="Arial" w:hAnsi="Arial" w:cs="Arial"/>
          <w:b/>
          <w:bCs/>
        </w:rPr>
      </w:pPr>
      <w:r w:rsidRPr="00F87CA6">
        <w:rPr>
          <w:rFonts w:ascii="Arial" w:hAnsi="Arial" w:cs="Arial"/>
          <w:b/>
          <w:bCs/>
        </w:rPr>
        <w:t>Jefe de Equipo</w:t>
      </w:r>
    </w:p>
    <w:p w14:paraId="0420E946" w14:textId="77777777" w:rsidR="00F87CA6" w:rsidRDefault="00F87CA6" w:rsidP="00F87CA6">
      <w:pPr>
        <w:spacing w:after="0"/>
        <w:jc w:val="both"/>
        <w:rPr>
          <w:rFonts w:ascii="Arial" w:hAnsi="Arial" w:cs="Arial"/>
          <w:b/>
          <w:bCs/>
        </w:rPr>
      </w:pPr>
    </w:p>
    <w:p w14:paraId="7DA1C545" w14:textId="77777777" w:rsidR="00F87CA6" w:rsidRDefault="00F87CA6" w:rsidP="00F87CA6">
      <w:pPr>
        <w:spacing w:after="0"/>
        <w:jc w:val="both"/>
        <w:rPr>
          <w:rFonts w:ascii="Arial" w:hAnsi="Arial" w:cs="Arial"/>
        </w:rPr>
      </w:pPr>
      <w:r>
        <w:rPr>
          <w:rFonts w:ascii="Arial" w:hAnsi="Arial" w:cs="Arial"/>
        </w:rPr>
        <w:t>En atención a Oficio No………….-0002-DPM-AE-2018-I de fecha 25 de junio de 2019, y notificado a mi persona en las oficinas de la Dirección de Talento Humano de la Universidad Laica “Eloy Alfaro” de Manabí, a las ……..</w:t>
      </w:r>
      <w:r>
        <w:rPr>
          <w:rFonts w:ascii="Arial" w:hAnsi="Arial" w:cs="Arial"/>
          <w:color w:val="FF0000"/>
        </w:rPr>
        <w:t xml:space="preserve">(hora) </w:t>
      </w:r>
      <w:r>
        <w:rPr>
          <w:rFonts w:ascii="Arial" w:hAnsi="Arial" w:cs="Arial"/>
        </w:rPr>
        <w:t>del ……..</w:t>
      </w:r>
      <w:r>
        <w:rPr>
          <w:rFonts w:ascii="Arial" w:hAnsi="Arial" w:cs="Arial"/>
          <w:color w:val="FF0000"/>
        </w:rPr>
        <w:t>(fecha)</w:t>
      </w:r>
      <w:r>
        <w:rPr>
          <w:rFonts w:ascii="Arial" w:hAnsi="Arial" w:cs="Arial"/>
        </w:rPr>
        <w:t xml:space="preserve"> de julio de 2019; que guarda relación con la comunicación de resultados provisionales del examen especial a las operaciones administrativas y financieras; y, a los procesos de contratación de obras y consultorías </w:t>
      </w:r>
      <w:r w:rsidR="00851F7D">
        <w:rPr>
          <w:rFonts w:ascii="Arial" w:hAnsi="Arial" w:cs="Arial"/>
        </w:rPr>
        <w:t>en sus fases: preparatoria, precontractual, contractual, fiscalización, liquidación y pago; y análisis de denuncias en la UNIVERSIDAD LAICA ELOY ALFARO DE MANABÍ, por el período comprendido entre el 1 de enero de 2013 y el 31 de octubre de 2018</w:t>
      </w:r>
      <w:r w:rsidR="00120138">
        <w:rPr>
          <w:rFonts w:ascii="Arial" w:hAnsi="Arial" w:cs="Arial"/>
        </w:rPr>
        <w:t>.</w:t>
      </w:r>
    </w:p>
    <w:p w14:paraId="4219D3AA" w14:textId="77777777" w:rsidR="00120138" w:rsidRDefault="00120138" w:rsidP="00F87CA6">
      <w:pPr>
        <w:spacing w:after="0"/>
        <w:jc w:val="both"/>
        <w:rPr>
          <w:rFonts w:ascii="Arial" w:hAnsi="Arial" w:cs="Arial"/>
        </w:rPr>
      </w:pPr>
    </w:p>
    <w:p w14:paraId="73D9F44D" w14:textId="77777777" w:rsidR="00120138" w:rsidRDefault="00120138" w:rsidP="00F87CA6">
      <w:pPr>
        <w:spacing w:after="0"/>
        <w:jc w:val="both"/>
        <w:rPr>
          <w:rFonts w:ascii="Arial" w:hAnsi="Arial" w:cs="Arial"/>
        </w:rPr>
      </w:pPr>
      <w:r>
        <w:rPr>
          <w:rFonts w:ascii="Arial" w:hAnsi="Arial" w:cs="Arial"/>
        </w:rPr>
        <w:t>Al respecto me permito puntualizar lo siguiente:</w:t>
      </w:r>
    </w:p>
    <w:p w14:paraId="0B7E1C1F" w14:textId="77777777" w:rsidR="00120138" w:rsidRDefault="00120138" w:rsidP="00F87CA6">
      <w:pPr>
        <w:spacing w:after="0"/>
        <w:jc w:val="both"/>
        <w:rPr>
          <w:rFonts w:ascii="Arial" w:hAnsi="Arial" w:cs="Arial"/>
        </w:rPr>
      </w:pPr>
    </w:p>
    <w:p w14:paraId="00098557" w14:textId="0A1396C4" w:rsidR="00120138" w:rsidRDefault="00120138" w:rsidP="00F87CA6">
      <w:pPr>
        <w:spacing w:after="0"/>
        <w:jc w:val="both"/>
        <w:rPr>
          <w:rFonts w:ascii="Arial" w:hAnsi="Arial" w:cs="Arial"/>
        </w:rPr>
      </w:pPr>
      <w:r>
        <w:rPr>
          <w:rFonts w:ascii="Arial" w:hAnsi="Arial" w:cs="Arial"/>
        </w:rPr>
        <w:t xml:space="preserve">1.- Soy </w:t>
      </w:r>
      <w:r w:rsidRPr="00A810E3">
        <w:rPr>
          <w:rFonts w:ascii="Arial" w:hAnsi="Arial" w:cs="Arial"/>
          <w:color w:val="FF0000"/>
        </w:rPr>
        <w:t>profesor</w:t>
      </w:r>
      <w:r w:rsidR="00A810E3" w:rsidRPr="00A810E3">
        <w:rPr>
          <w:rFonts w:ascii="Arial" w:hAnsi="Arial" w:cs="Arial"/>
          <w:color w:val="FF0000"/>
        </w:rPr>
        <w:t>/a</w:t>
      </w:r>
      <w:r w:rsidRPr="00A810E3">
        <w:rPr>
          <w:rFonts w:ascii="Arial" w:hAnsi="Arial" w:cs="Arial"/>
          <w:color w:val="FF0000"/>
        </w:rPr>
        <w:t xml:space="preserve"> </w:t>
      </w:r>
      <w:r>
        <w:rPr>
          <w:rFonts w:ascii="Arial" w:hAnsi="Arial" w:cs="Arial"/>
        </w:rPr>
        <w:t>titular</w:t>
      </w:r>
      <w:r w:rsidR="00653589">
        <w:rPr>
          <w:rFonts w:ascii="Arial" w:hAnsi="Arial" w:cs="Arial"/>
        </w:rPr>
        <w:t xml:space="preserve"> </w:t>
      </w:r>
      <w:r w:rsidR="00EA636E">
        <w:rPr>
          <w:rFonts w:ascii="Arial" w:hAnsi="Arial" w:cs="Arial"/>
        </w:rPr>
        <w:t>e</w:t>
      </w:r>
      <w:r w:rsidR="00653589">
        <w:rPr>
          <w:rFonts w:ascii="Arial" w:hAnsi="Arial" w:cs="Arial"/>
        </w:rPr>
        <w:t>n</w:t>
      </w:r>
      <w:r w:rsidR="00EA636E">
        <w:rPr>
          <w:rFonts w:ascii="Arial" w:hAnsi="Arial" w:cs="Arial"/>
        </w:rPr>
        <w:t xml:space="preserve"> la Universidad Laica Eloy Alfaro de Manabí</w:t>
      </w:r>
      <w:r w:rsidR="009452FE">
        <w:rPr>
          <w:rFonts w:ascii="Arial" w:hAnsi="Arial" w:cs="Arial"/>
        </w:rPr>
        <w:t xml:space="preserve"> y me </w:t>
      </w:r>
      <w:r w:rsidR="009452FE">
        <w:rPr>
          <w:rFonts w:ascii="Arial" w:hAnsi="Arial" w:cs="Arial"/>
          <w:color w:val="FF0000"/>
        </w:rPr>
        <w:t>desempeño/desempeñé como Coordinador/a de ……………………….. o función específica desempeñada</w:t>
      </w:r>
      <w:r w:rsidR="009452FE">
        <w:rPr>
          <w:rFonts w:ascii="Arial" w:hAnsi="Arial" w:cs="Arial"/>
        </w:rPr>
        <w:t xml:space="preserve">, durante el período examinado; </w:t>
      </w:r>
      <w:r w:rsidR="009452FE" w:rsidRPr="009452FE">
        <w:rPr>
          <w:rFonts w:ascii="Arial" w:hAnsi="Arial" w:cs="Arial"/>
          <w:color w:val="FF0000"/>
        </w:rPr>
        <w:t>y mis funciones de acuerdo al Instructivo emitido por el Consejo Académico y/o Departamento</w:t>
      </w:r>
      <w:r w:rsidR="009452FE">
        <w:rPr>
          <w:rFonts w:ascii="Arial" w:hAnsi="Arial" w:cs="Arial"/>
        </w:rPr>
        <w:t xml:space="preserve"> …………… </w:t>
      </w:r>
      <w:r w:rsidR="009452FE" w:rsidRPr="009452FE">
        <w:rPr>
          <w:rFonts w:ascii="Arial" w:hAnsi="Arial" w:cs="Arial"/>
          <w:color w:val="FF0000"/>
        </w:rPr>
        <w:t xml:space="preserve">son/eran </w:t>
      </w:r>
      <w:r w:rsidR="009452FE">
        <w:rPr>
          <w:rFonts w:ascii="Arial" w:hAnsi="Arial" w:cs="Arial"/>
        </w:rPr>
        <w:t>las siguientes:</w:t>
      </w:r>
    </w:p>
    <w:p w14:paraId="2C8B8A03" w14:textId="003A6066" w:rsidR="009452FE" w:rsidRDefault="009452FE" w:rsidP="00F87CA6">
      <w:pPr>
        <w:spacing w:after="0"/>
        <w:jc w:val="both"/>
        <w:rPr>
          <w:rFonts w:ascii="Arial" w:hAnsi="Arial" w:cs="Arial"/>
        </w:rPr>
      </w:pPr>
    </w:p>
    <w:p w14:paraId="2805E63E" w14:textId="115AF3FB" w:rsidR="009452FE" w:rsidRDefault="007E5379" w:rsidP="00F87CA6">
      <w:pPr>
        <w:spacing w:after="0"/>
        <w:jc w:val="both"/>
        <w:rPr>
          <w:rFonts w:ascii="Arial" w:hAnsi="Arial" w:cs="Arial"/>
        </w:rPr>
      </w:pPr>
      <w:r>
        <w:rPr>
          <w:rFonts w:ascii="Arial" w:hAnsi="Arial" w:cs="Arial"/>
          <w:color w:val="FF0000"/>
        </w:rPr>
        <w:t>(Lo que se transcriba en este espacio debe ser certificado por el Decano/a y/o Director/a del Departamento respectivo).</w:t>
      </w:r>
    </w:p>
    <w:p w14:paraId="195594D8" w14:textId="77777777" w:rsidR="009452FE" w:rsidRPr="009452FE" w:rsidRDefault="009452FE" w:rsidP="00F87CA6">
      <w:pPr>
        <w:spacing w:after="0"/>
        <w:jc w:val="both"/>
        <w:rPr>
          <w:rFonts w:ascii="Arial" w:hAnsi="Arial" w:cs="Arial"/>
        </w:rPr>
      </w:pPr>
    </w:p>
    <w:p w14:paraId="084D174D" w14:textId="77777777" w:rsidR="00653589" w:rsidRDefault="00653589" w:rsidP="00F87CA6">
      <w:pPr>
        <w:spacing w:after="0"/>
        <w:jc w:val="both"/>
        <w:rPr>
          <w:rFonts w:ascii="Arial" w:hAnsi="Arial" w:cs="Arial"/>
        </w:rPr>
      </w:pPr>
    </w:p>
    <w:p w14:paraId="0CDEC950" w14:textId="2804DB03" w:rsidR="0062637F" w:rsidRDefault="0066672B" w:rsidP="000E7DFA">
      <w:pPr>
        <w:autoSpaceDE w:val="0"/>
        <w:autoSpaceDN w:val="0"/>
        <w:adjustRightInd w:val="0"/>
        <w:spacing w:after="0" w:line="240" w:lineRule="auto"/>
        <w:jc w:val="both"/>
        <w:rPr>
          <w:rFonts w:ascii="Arial" w:hAnsi="Arial" w:cs="Arial"/>
        </w:rPr>
      </w:pPr>
      <w:r>
        <w:rPr>
          <w:rFonts w:ascii="Arial" w:hAnsi="Arial" w:cs="Arial"/>
        </w:rPr>
        <w:t xml:space="preserve">2.- </w:t>
      </w:r>
      <w:r w:rsidR="0062637F">
        <w:rPr>
          <w:rFonts w:ascii="Arial" w:hAnsi="Arial" w:cs="Arial"/>
          <w:lang w:val="es-MX"/>
        </w:rPr>
        <w:t xml:space="preserve">De conformidad a los principios determinados en la </w:t>
      </w:r>
      <w:r w:rsidR="00A810E3">
        <w:rPr>
          <w:rFonts w:ascii="Arial" w:hAnsi="Arial" w:cs="Arial"/>
          <w:lang w:val="es-MX"/>
        </w:rPr>
        <w:t>Constitución de la República del Ecuador</w:t>
      </w:r>
      <w:r w:rsidR="0062637F">
        <w:rPr>
          <w:rFonts w:ascii="Arial" w:hAnsi="Arial" w:cs="Arial"/>
          <w:lang w:val="es-MX"/>
        </w:rPr>
        <w:t xml:space="preserve">, el Art.11 numeral 8 manifiesta: </w:t>
      </w:r>
      <w:r w:rsidR="0062637F">
        <w:rPr>
          <w:rFonts w:ascii="Arial" w:hAnsi="Arial" w:cs="Arial"/>
          <w:i/>
          <w:iCs/>
          <w:lang w:val="es-MX"/>
        </w:rPr>
        <w:t>“</w:t>
      </w:r>
      <w:r w:rsidR="0062637F" w:rsidRPr="00E922FC">
        <w:rPr>
          <w:rFonts w:ascii="Arial" w:hAnsi="Arial" w:cs="Arial"/>
          <w:i/>
          <w:iCs/>
          <w:lang w:val="es-MX"/>
        </w:rPr>
        <w:t>El contenido de los derechos se desarrollará de manera progresiva a</w:t>
      </w:r>
      <w:r w:rsidR="0062637F">
        <w:rPr>
          <w:rFonts w:ascii="Arial" w:hAnsi="Arial" w:cs="Arial"/>
          <w:i/>
          <w:iCs/>
          <w:lang w:val="es-MX"/>
        </w:rPr>
        <w:t xml:space="preserve"> </w:t>
      </w:r>
      <w:r w:rsidR="0062637F" w:rsidRPr="00E922FC">
        <w:rPr>
          <w:rFonts w:ascii="Arial" w:hAnsi="Arial" w:cs="Arial"/>
          <w:i/>
          <w:iCs/>
          <w:lang w:val="es-MX"/>
        </w:rPr>
        <w:t>través de las normas, la jurisprudencia y las políticas públicas.</w:t>
      </w:r>
      <w:r w:rsidR="0062637F">
        <w:rPr>
          <w:rFonts w:ascii="Arial" w:hAnsi="Arial" w:cs="Arial"/>
          <w:i/>
          <w:iCs/>
          <w:lang w:val="es-MX"/>
        </w:rPr>
        <w:t xml:space="preserve"> (…) </w:t>
      </w:r>
      <w:r w:rsidR="0062637F" w:rsidRPr="000E7DFA">
        <w:rPr>
          <w:rFonts w:ascii="Arial" w:hAnsi="Arial" w:cs="Arial"/>
          <w:i/>
          <w:iCs/>
          <w:lang w:val="es-MX"/>
        </w:rPr>
        <w:t>Será inconstitucional cualquier acción u omisión de carácter</w:t>
      </w:r>
      <w:r w:rsidR="0062637F">
        <w:rPr>
          <w:rFonts w:ascii="Arial" w:hAnsi="Arial" w:cs="Arial"/>
          <w:i/>
          <w:iCs/>
          <w:lang w:val="es-MX"/>
        </w:rPr>
        <w:t xml:space="preserve"> </w:t>
      </w:r>
      <w:r w:rsidR="0062637F" w:rsidRPr="000E7DFA">
        <w:rPr>
          <w:rFonts w:ascii="Arial" w:hAnsi="Arial" w:cs="Arial"/>
          <w:i/>
          <w:iCs/>
          <w:lang w:val="es-MX"/>
        </w:rPr>
        <w:t>regresivo que disminuya, menoscabe o anule injustificadamente el</w:t>
      </w:r>
      <w:r w:rsidR="0062637F">
        <w:rPr>
          <w:rFonts w:ascii="Arial" w:hAnsi="Arial" w:cs="Arial"/>
          <w:i/>
          <w:iCs/>
          <w:lang w:val="es-MX"/>
        </w:rPr>
        <w:t xml:space="preserve"> </w:t>
      </w:r>
      <w:r w:rsidR="0062637F" w:rsidRPr="000E7DFA">
        <w:rPr>
          <w:rFonts w:ascii="Arial" w:hAnsi="Arial" w:cs="Arial"/>
          <w:i/>
          <w:iCs/>
          <w:lang w:val="es-MX"/>
        </w:rPr>
        <w:t>ejercicio de los derechos.</w:t>
      </w:r>
      <w:r w:rsidR="0062637F">
        <w:rPr>
          <w:rFonts w:ascii="Arial" w:hAnsi="Arial" w:cs="Arial"/>
          <w:i/>
          <w:iCs/>
          <w:lang w:val="es-MX"/>
        </w:rPr>
        <w:t>”</w:t>
      </w:r>
    </w:p>
    <w:p w14:paraId="2A5C175E" w14:textId="77777777" w:rsidR="0062637F" w:rsidRDefault="0062637F" w:rsidP="000E7DFA">
      <w:pPr>
        <w:autoSpaceDE w:val="0"/>
        <w:autoSpaceDN w:val="0"/>
        <w:adjustRightInd w:val="0"/>
        <w:spacing w:after="0" w:line="240" w:lineRule="auto"/>
        <w:jc w:val="both"/>
        <w:rPr>
          <w:rFonts w:ascii="Arial" w:hAnsi="Arial" w:cs="Arial"/>
        </w:rPr>
      </w:pPr>
    </w:p>
    <w:p w14:paraId="56D67619" w14:textId="3CA4595D" w:rsidR="0062637F" w:rsidRPr="0062637F" w:rsidRDefault="0062637F" w:rsidP="0062637F">
      <w:pPr>
        <w:autoSpaceDE w:val="0"/>
        <w:autoSpaceDN w:val="0"/>
        <w:adjustRightInd w:val="0"/>
        <w:spacing w:after="0" w:line="240" w:lineRule="auto"/>
        <w:jc w:val="both"/>
        <w:rPr>
          <w:rFonts w:ascii="Arial" w:hAnsi="Arial" w:cs="Arial"/>
          <w:i/>
          <w:iCs/>
        </w:rPr>
      </w:pPr>
      <w:r>
        <w:rPr>
          <w:rFonts w:ascii="Arial" w:hAnsi="Arial" w:cs="Arial"/>
        </w:rPr>
        <w:t xml:space="preserve">3.- El Art.349 de la norma constitucional, dispone: </w:t>
      </w:r>
      <w:r>
        <w:rPr>
          <w:rFonts w:ascii="Arial" w:hAnsi="Arial" w:cs="Arial"/>
          <w:i/>
          <w:iCs/>
        </w:rPr>
        <w:t>“</w:t>
      </w:r>
      <w:r w:rsidRPr="0062637F">
        <w:rPr>
          <w:rFonts w:ascii="Arial" w:hAnsi="Arial" w:cs="Arial"/>
          <w:i/>
          <w:iCs/>
          <w:u w:val="single"/>
          <w:lang w:val="es-MX"/>
        </w:rPr>
        <w:t>El Estado garantizará al personal docente, en todos los niveles y modalidades</w:t>
      </w:r>
      <w:r w:rsidRPr="0062637F">
        <w:rPr>
          <w:rFonts w:ascii="Arial" w:hAnsi="Arial" w:cs="Arial"/>
          <w:i/>
          <w:iCs/>
          <w:lang w:val="es-MX"/>
        </w:rPr>
        <w:t>,</w:t>
      </w:r>
      <w:r>
        <w:rPr>
          <w:rFonts w:ascii="Arial" w:hAnsi="Arial" w:cs="Arial"/>
          <w:i/>
          <w:iCs/>
          <w:lang w:val="es-MX"/>
        </w:rPr>
        <w:t xml:space="preserve"> </w:t>
      </w:r>
      <w:r w:rsidRPr="0062637F">
        <w:rPr>
          <w:rFonts w:ascii="Arial" w:hAnsi="Arial" w:cs="Arial"/>
          <w:i/>
          <w:iCs/>
          <w:lang w:val="es-MX"/>
        </w:rPr>
        <w:t>estabilidad, actualización, formación continua y</w:t>
      </w:r>
      <w:r>
        <w:rPr>
          <w:rFonts w:ascii="Arial" w:hAnsi="Arial" w:cs="Arial"/>
          <w:i/>
          <w:iCs/>
          <w:lang w:val="es-MX"/>
        </w:rPr>
        <w:t xml:space="preserve"> </w:t>
      </w:r>
      <w:r w:rsidRPr="0062637F">
        <w:rPr>
          <w:rFonts w:ascii="Arial" w:hAnsi="Arial" w:cs="Arial"/>
          <w:i/>
          <w:iCs/>
          <w:lang w:val="es-MX"/>
        </w:rPr>
        <w:t xml:space="preserve">mejoramiento pedagógico y académico; </w:t>
      </w:r>
      <w:r w:rsidRPr="0062637F">
        <w:rPr>
          <w:rFonts w:ascii="Arial" w:hAnsi="Arial" w:cs="Arial"/>
          <w:i/>
          <w:iCs/>
          <w:u w:val="single"/>
          <w:lang w:val="es-MX"/>
        </w:rPr>
        <w:t>una remuneración justa</w:t>
      </w:r>
      <w:r w:rsidRPr="0062637F">
        <w:rPr>
          <w:rFonts w:ascii="Arial" w:hAnsi="Arial" w:cs="Arial"/>
          <w:i/>
          <w:iCs/>
          <w:lang w:val="es-MX"/>
        </w:rPr>
        <w:t>,</w:t>
      </w:r>
      <w:r>
        <w:rPr>
          <w:rFonts w:ascii="Arial" w:hAnsi="Arial" w:cs="Arial"/>
          <w:i/>
          <w:iCs/>
          <w:lang w:val="es-MX"/>
        </w:rPr>
        <w:t xml:space="preserve"> (el énfasis me pertenece),</w:t>
      </w:r>
      <w:r w:rsidRPr="0062637F">
        <w:rPr>
          <w:rFonts w:ascii="Arial" w:hAnsi="Arial" w:cs="Arial"/>
          <w:i/>
          <w:iCs/>
          <w:lang w:val="es-MX"/>
        </w:rPr>
        <w:t xml:space="preserve"> de</w:t>
      </w:r>
      <w:r>
        <w:rPr>
          <w:rFonts w:ascii="Arial" w:hAnsi="Arial" w:cs="Arial"/>
          <w:i/>
          <w:iCs/>
          <w:lang w:val="es-MX"/>
        </w:rPr>
        <w:t xml:space="preserve"> </w:t>
      </w:r>
      <w:r w:rsidRPr="0062637F">
        <w:rPr>
          <w:rFonts w:ascii="Arial" w:hAnsi="Arial" w:cs="Arial"/>
          <w:i/>
          <w:iCs/>
          <w:lang w:val="es-MX"/>
        </w:rPr>
        <w:t>acuerdo a la profesionalización, desempeño y méritos académicos. La ley</w:t>
      </w:r>
      <w:r>
        <w:rPr>
          <w:rFonts w:ascii="Arial" w:hAnsi="Arial" w:cs="Arial"/>
          <w:i/>
          <w:iCs/>
          <w:lang w:val="es-MX"/>
        </w:rPr>
        <w:t xml:space="preserve"> </w:t>
      </w:r>
      <w:r w:rsidRPr="0062637F">
        <w:rPr>
          <w:rFonts w:ascii="Arial" w:hAnsi="Arial" w:cs="Arial"/>
          <w:i/>
          <w:iCs/>
          <w:lang w:val="es-MX"/>
        </w:rPr>
        <w:t>regulará la carrera docente y el escalafón; establecerá un sistema</w:t>
      </w:r>
      <w:r>
        <w:rPr>
          <w:rFonts w:ascii="Arial" w:hAnsi="Arial" w:cs="Arial"/>
          <w:i/>
          <w:iCs/>
          <w:lang w:val="es-MX"/>
        </w:rPr>
        <w:t xml:space="preserve"> </w:t>
      </w:r>
      <w:r w:rsidRPr="0062637F">
        <w:rPr>
          <w:rFonts w:ascii="Arial" w:hAnsi="Arial" w:cs="Arial"/>
          <w:i/>
          <w:iCs/>
          <w:lang w:val="es-MX"/>
        </w:rPr>
        <w:t>nacional de evaluación del desempeño y la política salarial en todos los</w:t>
      </w:r>
      <w:r>
        <w:rPr>
          <w:rFonts w:ascii="Arial" w:hAnsi="Arial" w:cs="Arial"/>
          <w:i/>
          <w:iCs/>
          <w:lang w:val="es-MX"/>
        </w:rPr>
        <w:t xml:space="preserve"> </w:t>
      </w:r>
      <w:r w:rsidRPr="0062637F">
        <w:rPr>
          <w:rFonts w:ascii="Arial" w:hAnsi="Arial" w:cs="Arial"/>
          <w:i/>
          <w:iCs/>
          <w:lang w:val="es-MX"/>
        </w:rPr>
        <w:t>niveles. Se establecerán políticas de promoción, movilidad y alternancia</w:t>
      </w:r>
      <w:r>
        <w:rPr>
          <w:rFonts w:ascii="Arial" w:hAnsi="Arial" w:cs="Arial"/>
          <w:i/>
          <w:iCs/>
          <w:lang w:val="es-MX"/>
        </w:rPr>
        <w:t xml:space="preserve"> </w:t>
      </w:r>
      <w:r w:rsidRPr="0062637F">
        <w:rPr>
          <w:rFonts w:ascii="Arial" w:hAnsi="Arial" w:cs="Arial"/>
          <w:i/>
          <w:iCs/>
          <w:lang w:val="es-MX"/>
        </w:rPr>
        <w:t>docente</w:t>
      </w:r>
      <w:r w:rsidR="00A810E3">
        <w:rPr>
          <w:rFonts w:ascii="Arial" w:hAnsi="Arial" w:cs="Arial"/>
          <w:i/>
          <w:iCs/>
          <w:lang w:val="es-MX"/>
        </w:rPr>
        <w:t xml:space="preserve"> (el énfasis me pertenece)</w:t>
      </w:r>
      <w:r>
        <w:rPr>
          <w:rFonts w:ascii="Arial" w:hAnsi="Arial" w:cs="Arial"/>
          <w:i/>
          <w:iCs/>
          <w:lang w:val="es-MX"/>
        </w:rPr>
        <w:t>”</w:t>
      </w:r>
      <w:r w:rsidR="00A810E3">
        <w:rPr>
          <w:rFonts w:ascii="Arial" w:hAnsi="Arial" w:cs="Arial"/>
          <w:i/>
          <w:iCs/>
          <w:lang w:val="es-MX"/>
        </w:rPr>
        <w:t>.</w:t>
      </w:r>
    </w:p>
    <w:p w14:paraId="5ED198C2" w14:textId="77777777" w:rsidR="0062637F" w:rsidRDefault="0062637F" w:rsidP="000E7DFA">
      <w:pPr>
        <w:autoSpaceDE w:val="0"/>
        <w:autoSpaceDN w:val="0"/>
        <w:adjustRightInd w:val="0"/>
        <w:spacing w:after="0" w:line="240" w:lineRule="auto"/>
        <w:jc w:val="both"/>
        <w:rPr>
          <w:rFonts w:ascii="Arial" w:hAnsi="Arial" w:cs="Arial"/>
        </w:rPr>
      </w:pPr>
    </w:p>
    <w:p w14:paraId="10839D66" w14:textId="5A0FC742" w:rsidR="0066672B" w:rsidRDefault="0062637F" w:rsidP="000E7DFA">
      <w:pPr>
        <w:autoSpaceDE w:val="0"/>
        <w:autoSpaceDN w:val="0"/>
        <w:adjustRightInd w:val="0"/>
        <w:spacing w:after="0" w:line="240" w:lineRule="auto"/>
        <w:jc w:val="both"/>
        <w:rPr>
          <w:rFonts w:ascii="Arial" w:hAnsi="Arial" w:cs="Arial"/>
          <w:i/>
          <w:iCs/>
          <w:lang w:val="es-MX"/>
        </w:rPr>
      </w:pPr>
      <w:r>
        <w:rPr>
          <w:rFonts w:ascii="Arial" w:hAnsi="Arial" w:cs="Arial"/>
        </w:rPr>
        <w:t xml:space="preserve">4.- </w:t>
      </w:r>
      <w:r w:rsidR="000E7DFA">
        <w:rPr>
          <w:rFonts w:ascii="Arial" w:hAnsi="Arial" w:cs="Arial"/>
        </w:rPr>
        <w:t xml:space="preserve">El Art.355 de la Constitución de la República del Ecuador, establece en su inciso primero lo siguiente: </w:t>
      </w:r>
      <w:r w:rsidR="000E7DFA">
        <w:rPr>
          <w:rFonts w:ascii="Arial" w:hAnsi="Arial" w:cs="Arial"/>
          <w:i/>
          <w:iCs/>
        </w:rPr>
        <w:t>“</w:t>
      </w:r>
      <w:r w:rsidR="000E7DFA" w:rsidRPr="000E7DFA">
        <w:rPr>
          <w:rFonts w:ascii="Arial" w:hAnsi="Arial" w:cs="Arial"/>
          <w:i/>
          <w:iCs/>
          <w:lang w:val="es-MX"/>
        </w:rPr>
        <w:t>El Estado reconocerá a las universidades y escuelas</w:t>
      </w:r>
      <w:r w:rsidR="000E7DFA">
        <w:rPr>
          <w:rFonts w:ascii="Arial" w:hAnsi="Arial" w:cs="Arial"/>
          <w:i/>
          <w:iCs/>
          <w:lang w:val="es-MX"/>
        </w:rPr>
        <w:t xml:space="preserve"> </w:t>
      </w:r>
      <w:r w:rsidR="000E7DFA" w:rsidRPr="000E7DFA">
        <w:rPr>
          <w:rFonts w:ascii="Arial" w:hAnsi="Arial" w:cs="Arial"/>
          <w:i/>
          <w:iCs/>
          <w:lang w:val="es-MX"/>
        </w:rPr>
        <w:t xml:space="preserve">politécnicas autonomía </w:t>
      </w:r>
      <w:r w:rsidR="000E7DFA" w:rsidRPr="000E7DFA">
        <w:rPr>
          <w:rFonts w:ascii="Arial" w:hAnsi="Arial" w:cs="Arial"/>
          <w:i/>
          <w:iCs/>
          <w:lang w:val="es-MX"/>
        </w:rPr>
        <w:lastRenderedPageBreak/>
        <w:t>académica, administrativa, financiera y orgánica,</w:t>
      </w:r>
      <w:r w:rsidR="000E7DFA">
        <w:rPr>
          <w:rFonts w:ascii="Arial" w:hAnsi="Arial" w:cs="Arial"/>
          <w:i/>
          <w:iCs/>
          <w:lang w:val="es-MX"/>
        </w:rPr>
        <w:t xml:space="preserve"> </w:t>
      </w:r>
      <w:r w:rsidR="000E7DFA" w:rsidRPr="000E7DFA">
        <w:rPr>
          <w:rFonts w:ascii="Arial" w:hAnsi="Arial" w:cs="Arial"/>
          <w:i/>
          <w:iCs/>
          <w:lang w:val="es-MX"/>
        </w:rPr>
        <w:t>acorde con los objetivos del régimen de desarrollo y los principios</w:t>
      </w:r>
      <w:r w:rsidR="000E7DFA">
        <w:rPr>
          <w:rFonts w:ascii="Arial" w:hAnsi="Arial" w:cs="Arial"/>
          <w:i/>
          <w:iCs/>
          <w:lang w:val="es-MX"/>
        </w:rPr>
        <w:t xml:space="preserve"> </w:t>
      </w:r>
      <w:r w:rsidR="000E7DFA" w:rsidRPr="000E7DFA">
        <w:rPr>
          <w:rFonts w:ascii="Arial" w:hAnsi="Arial" w:cs="Arial"/>
          <w:i/>
          <w:iCs/>
          <w:lang w:val="es-MX"/>
        </w:rPr>
        <w:t>establecidos en la Constitución</w:t>
      </w:r>
      <w:r w:rsidR="000E7DFA">
        <w:rPr>
          <w:rFonts w:ascii="Arial" w:hAnsi="Arial" w:cs="Arial"/>
          <w:i/>
          <w:iCs/>
          <w:lang w:val="es-MX"/>
        </w:rPr>
        <w:t xml:space="preserve"> (…)</w:t>
      </w:r>
      <w:r w:rsidR="00A810E3">
        <w:rPr>
          <w:rFonts w:ascii="Arial" w:hAnsi="Arial" w:cs="Arial"/>
          <w:i/>
          <w:iCs/>
          <w:lang w:val="es-MX"/>
        </w:rPr>
        <w:t>”.</w:t>
      </w:r>
    </w:p>
    <w:p w14:paraId="243A0A92" w14:textId="77777777" w:rsidR="000E7DFA" w:rsidRDefault="000E7DFA" w:rsidP="000E7DFA">
      <w:pPr>
        <w:autoSpaceDE w:val="0"/>
        <w:autoSpaceDN w:val="0"/>
        <w:adjustRightInd w:val="0"/>
        <w:spacing w:after="0" w:line="240" w:lineRule="auto"/>
        <w:jc w:val="both"/>
        <w:rPr>
          <w:rFonts w:ascii="Arial" w:hAnsi="Arial" w:cs="Arial"/>
          <w:i/>
          <w:iCs/>
          <w:lang w:val="es-MX"/>
        </w:rPr>
      </w:pPr>
    </w:p>
    <w:p w14:paraId="4C84F0ED" w14:textId="422507D8" w:rsidR="00CA5429" w:rsidRPr="00DC689D" w:rsidRDefault="0062637F" w:rsidP="00E922FC">
      <w:pPr>
        <w:autoSpaceDE w:val="0"/>
        <w:autoSpaceDN w:val="0"/>
        <w:adjustRightInd w:val="0"/>
        <w:spacing w:after="0" w:line="240" w:lineRule="auto"/>
        <w:jc w:val="both"/>
        <w:rPr>
          <w:rFonts w:ascii="Arial" w:hAnsi="Arial" w:cs="Arial"/>
          <w:i/>
          <w:iCs/>
        </w:rPr>
      </w:pPr>
      <w:r>
        <w:rPr>
          <w:rFonts w:ascii="Arial" w:hAnsi="Arial" w:cs="Arial"/>
          <w:lang w:val="es-MX"/>
        </w:rPr>
        <w:t>5</w:t>
      </w:r>
      <w:r w:rsidR="00CA5429">
        <w:rPr>
          <w:rFonts w:ascii="Arial" w:hAnsi="Arial" w:cs="Arial"/>
          <w:lang w:val="es-MX"/>
        </w:rPr>
        <w:t xml:space="preserve">.- El Plan Nacional del Buen Vivir 2013 – 2017, Objetivo 9 – Garantizar el trabajo digno en todas sus formas –, en su parte pertinente manifiesta: </w:t>
      </w:r>
      <w:r w:rsidR="00CA5429">
        <w:rPr>
          <w:rFonts w:ascii="Arial" w:hAnsi="Arial" w:cs="Arial"/>
          <w:i/>
          <w:iCs/>
          <w:lang w:val="es-MX"/>
        </w:rPr>
        <w:t xml:space="preserve">“(…) </w:t>
      </w:r>
      <w:r w:rsidR="00CA5429" w:rsidRPr="00CA5429">
        <w:rPr>
          <w:rFonts w:ascii="Arial" w:hAnsi="Arial" w:cs="Arial"/>
          <w:i/>
          <w:iCs/>
        </w:rPr>
        <w:t>El trabajo, en sus diferentes formas, es fundamental para el desarrollo saludable de una economía, es fuente de realización personal y es una condición necesaria para la consecución de una vida plena</w:t>
      </w:r>
      <w:r w:rsidR="00CA5429">
        <w:rPr>
          <w:rFonts w:ascii="Arial" w:hAnsi="Arial" w:cs="Arial"/>
          <w:i/>
          <w:iCs/>
        </w:rPr>
        <w:t>. (…) D</w:t>
      </w:r>
      <w:r w:rsidR="00CA5429" w:rsidRPr="00CA5429">
        <w:rPr>
          <w:rFonts w:ascii="Arial" w:hAnsi="Arial" w:cs="Arial"/>
          <w:i/>
          <w:iCs/>
        </w:rPr>
        <w:t>e esta manera, se establece que el trabajo no puede ser concebido como un factor más de producción, sino como un elemento mismo del Buen Vivir y como base para el despliegue de los talentos de las personas</w:t>
      </w:r>
      <w:r w:rsidR="00CA5429">
        <w:rPr>
          <w:rFonts w:ascii="Arial" w:hAnsi="Arial" w:cs="Arial"/>
          <w:i/>
          <w:iCs/>
        </w:rPr>
        <w:t xml:space="preserve">. (…) </w:t>
      </w:r>
      <w:r w:rsidR="00DC689D" w:rsidRPr="00DC689D">
        <w:rPr>
          <w:rFonts w:ascii="Arial" w:hAnsi="Arial" w:cs="Arial"/>
          <w:i/>
          <w:iCs/>
        </w:rPr>
        <w:t>La Constitución establece de manera explícita que el régimen de desarrollo debe basarse en la generación de trabajo digno y estable, el mismo que debe desarrollarse en función del ejercicio de los derechos de los trabajadores (art. 276</w:t>
      </w:r>
      <w:r w:rsidR="00EC2A33">
        <w:rPr>
          <w:rFonts w:ascii="Arial" w:hAnsi="Arial" w:cs="Arial"/>
          <w:i/>
          <w:iCs/>
        </w:rPr>
        <w:t xml:space="preserve"> CRE</w:t>
      </w:r>
      <w:r w:rsidR="00DC689D" w:rsidRPr="00DC689D">
        <w:rPr>
          <w:rFonts w:ascii="Arial" w:hAnsi="Arial" w:cs="Arial"/>
          <w:i/>
          <w:iCs/>
        </w:rPr>
        <w:t xml:space="preserve">). Lo anterior exige que los esfuerzos de política pública, además de impulsar las actividades económicas que generen trabajo, </w:t>
      </w:r>
      <w:r w:rsidR="00DC689D" w:rsidRPr="00EC2A33">
        <w:rPr>
          <w:rFonts w:ascii="Arial" w:hAnsi="Arial" w:cs="Arial"/>
          <w:i/>
          <w:iCs/>
          <w:u w:val="single"/>
        </w:rPr>
        <w:t>garanticen remuneraciones justas</w:t>
      </w:r>
      <w:r w:rsidR="00DC689D" w:rsidRPr="00DC689D">
        <w:rPr>
          <w:rFonts w:ascii="Arial" w:hAnsi="Arial" w:cs="Arial"/>
          <w:i/>
          <w:iCs/>
        </w:rPr>
        <w:t>,</w:t>
      </w:r>
      <w:r w:rsidR="00EC2A33">
        <w:rPr>
          <w:rFonts w:ascii="Arial" w:hAnsi="Arial" w:cs="Arial"/>
          <w:i/>
          <w:iCs/>
        </w:rPr>
        <w:t xml:space="preserve"> (el énfasis me pertenece),</w:t>
      </w:r>
      <w:r w:rsidR="00DC689D" w:rsidRPr="00DC689D">
        <w:rPr>
          <w:rFonts w:ascii="Arial" w:hAnsi="Arial" w:cs="Arial"/>
          <w:i/>
          <w:iCs/>
        </w:rPr>
        <w:t xml:space="preserve"> ambientes de trabajo saludables, estabilidad laboral y la total falta de discriminación. Una sociedad que busque la justicia y la dignidad como principios fundamentales no solamente debe ser evaluada por la cantidad de trabajo que genera, sino también por el grado de cumplimiento de las garantías que se establezcan y las condiciones y cualidades en las que se efectúe.</w:t>
      </w:r>
      <w:r w:rsidR="00DC689D">
        <w:rPr>
          <w:rFonts w:ascii="Arial" w:hAnsi="Arial" w:cs="Arial"/>
          <w:i/>
          <w:iCs/>
        </w:rPr>
        <w:t>”</w:t>
      </w:r>
      <w:r w:rsidR="007F41FF">
        <w:rPr>
          <w:rFonts w:ascii="Arial" w:hAnsi="Arial" w:cs="Arial"/>
          <w:i/>
          <w:iCs/>
        </w:rPr>
        <w:t xml:space="preserve"> </w:t>
      </w:r>
      <w:r w:rsidR="00DC689D" w:rsidRPr="007F41FF">
        <w:rPr>
          <w:rStyle w:val="Refdenotaalpie"/>
          <w:rFonts w:ascii="Arial" w:hAnsi="Arial" w:cs="Arial"/>
          <w:b/>
          <w:bCs/>
        </w:rPr>
        <w:footnoteReference w:id="1"/>
      </w:r>
    </w:p>
    <w:p w14:paraId="231B83D3" w14:textId="77777777" w:rsidR="0066672B" w:rsidRDefault="0066672B" w:rsidP="00F87CA6">
      <w:pPr>
        <w:spacing w:after="0"/>
        <w:jc w:val="both"/>
        <w:rPr>
          <w:rFonts w:ascii="Arial" w:hAnsi="Arial" w:cs="Arial"/>
        </w:rPr>
      </w:pPr>
    </w:p>
    <w:p w14:paraId="719CF351" w14:textId="498CF0A2" w:rsidR="00653589" w:rsidRDefault="00EC2A33" w:rsidP="00F87CA6">
      <w:pPr>
        <w:spacing w:after="0"/>
        <w:jc w:val="both"/>
        <w:rPr>
          <w:rFonts w:ascii="Arial" w:hAnsi="Arial" w:cs="Arial"/>
        </w:rPr>
      </w:pPr>
      <w:r>
        <w:rPr>
          <w:rFonts w:ascii="Arial" w:hAnsi="Arial" w:cs="Arial"/>
        </w:rPr>
        <w:t>6</w:t>
      </w:r>
      <w:r w:rsidR="00653589">
        <w:rPr>
          <w:rFonts w:ascii="Arial" w:hAnsi="Arial" w:cs="Arial"/>
        </w:rPr>
        <w:t xml:space="preserve">.- En mi calidad de profesor universitario, </w:t>
      </w:r>
      <w:r w:rsidR="0066672B">
        <w:rPr>
          <w:rFonts w:ascii="Arial" w:hAnsi="Arial" w:cs="Arial"/>
        </w:rPr>
        <w:t>estoy excluido de la carrera del servicio público, tal y cual lo determina el Art.83 literal l) de la LOSEP.</w:t>
      </w:r>
    </w:p>
    <w:p w14:paraId="2D2F5713" w14:textId="77777777" w:rsidR="0066672B" w:rsidRDefault="0066672B" w:rsidP="00F87CA6">
      <w:pPr>
        <w:spacing w:after="0"/>
        <w:jc w:val="both"/>
        <w:rPr>
          <w:rFonts w:ascii="Arial" w:hAnsi="Arial" w:cs="Arial"/>
        </w:rPr>
      </w:pPr>
    </w:p>
    <w:p w14:paraId="1722EC91" w14:textId="06E24E4C" w:rsidR="0066672B" w:rsidRDefault="00EC2A33" w:rsidP="0066672B">
      <w:pPr>
        <w:autoSpaceDE w:val="0"/>
        <w:autoSpaceDN w:val="0"/>
        <w:adjustRightInd w:val="0"/>
        <w:spacing w:after="0" w:line="240" w:lineRule="auto"/>
        <w:jc w:val="both"/>
        <w:rPr>
          <w:rFonts w:ascii="Arial" w:hAnsi="Arial" w:cs="Arial"/>
          <w:i/>
          <w:iCs/>
          <w:lang w:val="es-MX"/>
        </w:rPr>
      </w:pPr>
      <w:r>
        <w:rPr>
          <w:rFonts w:ascii="Arial" w:hAnsi="Arial" w:cs="Arial"/>
        </w:rPr>
        <w:t>7</w:t>
      </w:r>
      <w:r w:rsidR="0066672B">
        <w:rPr>
          <w:rFonts w:ascii="Arial" w:hAnsi="Arial" w:cs="Arial"/>
        </w:rPr>
        <w:t xml:space="preserve">.- Lo aseverado en el numeral anterior, se complementa con el Art.84 de la norma ibídem, el cual expresa: </w:t>
      </w:r>
      <w:r w:rsidR="0066672B">
        <w:rPr>
          <w:rFonts w:ascii="Arial" w:hAnsi="Arial" w:cs="Arial"/>
          <w:i/>
          <w:iCs/>
        </w:rPr>
        <w:t>“</w:t>
      </w:r>
      <w:r w:rsidR="0066672B" w:rsidRPr="0066672B">
        <w:rPr>
          <w:rFonts w:ascii="Arial" w:hAnsi="Arial" w:cs="Arial"/>
          <w:i/>
          <w:iCs/>
          <w:lang w:val="es-MX"/>
        </w:rPr>
        <w:t>El personal docente comprendido</w:t>
      </w:r>
      <w:r w:rsidR="0066672B">
        <w:rPr>
          <w:rFonts w:ascii="Arial" w:hAnsi="Arial" w:cs="Arial"/>
          <w:i/>
          <w:iCs/>
          <w:lang w:val="es-MX"/>
        </w:rPr>
        <w:t xml:space="preserve"> </w:t>
      </w:r>
      <w:r w:rsidR="0066672B" w:rsidRPr="0066672B">
        <w:rPr>
          <w:rFonts w:ascii="Arial" w:hAnsi="Arial" w:cs="Arial"/>
          <w:i/>
          <w:iCs/>
          <w:lang w:val="es-MX"/>
        </w:rPr>
        <w:t>en todos los niveles y modalidades gozará de estabilidad,</w:t>
      </w:r>
      <w:r w:rsidR="0066672B">
        <w:rPr>
          <w:rFonts w:ascii="Arial" w:hAnsi="Arial" w:cs="Arial"/>
          <w:i/>
          <w:iCs/>
          <w:lang w:val="es-MX"/>
        </w:rPr>
        <w:t xml:space="preserve"> </w:t>
      </w:r>
      <w:r w:rsidR="0066672B" w:rsidRPr="0066672B">
        <w:rPr>
          <w:rFonts w:ascii="Arial" w:hAnsi="Arial" w:cs="Arial"/>
          <w:i/>
          <w:iCs/>
          <w:lang w:val="es-MX"/>
        </w:rPr>
        <w:t xml:space="preserve">actualización, formación continua, </w:t>
      </w:r>
      <w:r w:rsidR="0066672B">
        <w:rPr>
          <w:rFonts w:ascii="Arial" w:hAnsi="Arial" w:cs="Arial"/>
          <w:i/>
          <w:iCs/>
          <w:lang w:val="es-MX"/>
        </w:rPr>
        <w:t>m</w:t>
      </w:r>
      <w:r w:rsidR="0066672B" w:rsidRPr="0066672B">
        <w:rPr>
          <w:rFonts w:ascii="Arial" w:hAnsi="Arial" w:cs="Arial"/>
          <w:i/>
          <w:iCs/>
          <w:lang w:val="es-MX"/>
        </w:rPr>
        <w:t>ejoramiento pedagógico</w:t>
      </w:r>
      <w:r w:rsidR="0066672B">
        <w:rPr>
          <w:rFonts w:ascii="Arial" w:hAnsi="Arial" w:cs="Arial"/>
          <w:i/>
          <w:iCs/>
          <w:lang w:val="es-MX"/>
        </w:rPr>
        <w:t xml:space="preserve"> </w:t>
      </w:r>
      <w:r w:rsidR="0066672B" w:rsidRPr="0066672B">
        <w:rPr>
          <w:rFonts w:ascii="Arial" w:hAnsi="Arial" w:cs="Arial"/>
          <w:i/>
          <w:iCs/>
          <w:lang w:val="es-MX"/>
        </w:rPr>
        <w:t xml:space="preserve">y académico, </w:t>
      </w:r>
      <w:r w:rsidR="0066672B" w:rsidRPr="00EC2A33">
        <w:rPr>
          <w:rFonts w:ascii="Arial" w:hAnsi="Arial" w:cs="Arial"/>
          <w:i/>
          <w:iCs/>
          <w:u w:val="single"/>
          <w:lang w:val="es-MX"/>
        </w:rPr>
        <w:t>percibirá una remuneración justa</w:t>
      </w:r>
      <w:r>
        <w:rPr>
          <w:rFonts w:ascii="Arial" w:hAnsi="Arial" w:cs="Arial"/>
          <w:i/>
          <w:iCs/>
          <w:lang w:val="es-MX"/>
        </w:rPr>
        <w:t xml:space="preserve">, </w:t>
      </w:r>
      <w:r w:rsidR="0066672B" w:rsidRPr="0066672B">
        <w:rPr>
          <w:rFonts w:ascii="Arial" w:hAnsi="Arial" w:cs="Arial"/>
          <w:i/>
          <w:iCs/>
          <w:lang w:val="es-MX"/>
        </w:rPr>
        <w:t>de acuerdo a la</w:t>
      </w:r>
      <w:r>
        <w:rPr>
          <w:rFonts w:ascii="Arial" w:hAnsi="Arial" w:cs="Arial"/>
          <w:i/>
          <w:iCs/>
          <w:lang w:val="es-MX"/>
        </w:rPr>
        <w:t xml:space="preserve"> </w:t>
      </w:r>
      <w:r w:rsidR="0066672B" w:rsidRPr="0066672B">
        <w:rPr>
          <w:rFonts w:ascii="Arial" w:hAnsi="Arial" w:cs="Arial"/>
          <w:i/>
          <w:iCs/>
          <w:lang w:val="es-MX"/>
        </w:rPr>
        <w:t xml:space="preserve">profesionalización, desempeño y méritos académicos. </w:t>
      </w:r>
      <w:r w:rsidR="0066672B">
        <w:rPr>
          <w:rFonts w:ascii="Arial" w:hAnsi="Arial" w:cs="Arial"/>
          <w:i/>
          <w:iCs/>
          <w:lang w:val="es-MX"/>
        </w:rPr>
        <w:t xml:space="preserve">(…) </w:t>
      </w:r>
      <w:r w:rsidR="0066672B" w:rsidRPr="0066672B">
        <w:rPr>
          <w:rFonts w:ascii="Arial" w:hAnsi="Arial" w:cs="Arial"/>
          <w:i/>
          <w:iCs/>
          <w:lang w:val="es-MX"/>
        </w:rPr>
        <w:t>Así como los docentes e investigadores de las universidades que</w:t>
      </w:r>
      <w:r w:rsidR="0066672B">
        <w:rPr>
          <w:rFonts w:ascii="Arial" w:hAnsi="Arial" w:cs="Arial"/>
          <w:i/>
          <w:iCs/>
          <w:lang w:val="es-MX"/>
        </w:rPr>
        <w:t xml:space="preserve"> </w:t>
      </w:r>
      <w:r w:rsidR="0066672B" w:rsidRPr="0066672B">
        <w:rPr>
          <w:rFonts w:ascii="Arial" w:hAnsi="Arial" w:cs="Arial"/>
          <w:i/>
          <w:iCs/>
          <w:lang w:val="es-MX"/>
        </w:rPr>
        <w:t>se regirán por la Ley de Educación Superior, en función a lo</w:t>
      </w:r>
      <w:r w:rsidR="0066672B">
        <w:rPr>
          <w:rFonts w:ascii="Arial" w:hAnsi="Arial" w:cs="Arial"/>
          <w:i/>
          <w:iCs/>
          <w:lang w:val="es-MX"/>
        </w:rPr>
        <w:t xml:space="preserve"> </w:t>
      </w:r>
      <w:r w:rsidR="0066672B" w:rsidRPr="0066672B">
        <w:rPr>
          <w:rFonts w:ascii="Arial" w:hAnsi="Arial" w:cs="Arial"/>
          <w:i/>
          <w:iCs/>
          <w:lang w:val="es-MX"/>
        </w:rPr>
        <w:t>consagrado en el Artículo 355 de la Constitución. En el caso de</w:t>
      </w:r>
      <w:r w:rsidR="0066672B">
        <w:rPr>
          <w:rFonts w:ascii="Arial" w:hAnsi="Arial" w:cs="Arial"/>
          <w:i/>
          <w:iCs/>
          <w:lang w:val="es-MX"/>
        </w:rPr>
        <w:t xml:space="preserve"> </w:t>
      </w:r>
      <w:r w:rsidR="0066672B" w:rsidRPr="0066672B">
        <w:rPr>
          <w:rFonts w:ascii="Arial" w:hAnsi="Arial" w:cs="Arial"/>
          <w:i/>
          <w:iCs/>
          <w:lang w:val="es-MX"/>
        </w:rPr>
        <w:t>las y los servidores que prestan sus servicios en calidad de Técnicos</w:t>
      </w:r>
      <w:r w:rsidR="0066672B">
        <w:rPr>
          <w:rFonts w:ascii="Arial" w:hAnsi="Arial" w:cs="Arial"/>
          <w:i/>
          <w:iCs/>
          <w:lang w:val="es-MX"/>
        </w:rPr>
        <w:t xml:space="preserve"> </w:t>
      </w:r>
      <w:r w:rsidR="0066672B" w:rsidRPr="0066672B">
        <w:rPr>
          <w:rFonts w:ascii="Arial" w:hAnsi="Arial" w:cs="Arial"/>
          <w:i/>
          <w:iCs/>
          <w:lang w:val="es-MX"/>
        </w:rPr>
        <w:t>Docentes, estarán regulados por esta Ley</w:t>
      </w:r>
      <w:r w:rsidR="00A810E3">
        <w:rPr>
          <w:rFonts w:ascii="Arial" w:hAnsi="Arial" w:cs="Arial"/>
          <w:i/>
          <w:iCs/>
          <w:lang w:val="es-MX"/>
        </w:rPr>
        <w:t xml:space="preserve"> (el énfasis me pertenece)</w:t>
      </w:r>
      <w:r w:rsidR="0066672B">
        <w:rPr>
          <w:rFonts w:ascii="Arial" w:hAnsi="Arial" w:cs="Arial"/>
          <w:i/>
          <w:iCs/>
          <w:lang w:val="es-MX"/>
        </w:rPr>
        <w:t>”</w:t>
      </w:r>
      <w:r w:rsidR="00A810E3">
        <w:rPr>
          <w:rFonts w:ascii="Arial" w:hAnsi="Arial" w:cs="Arial"/>
          <w:i/>
          <w:iCs/>
          <w:lang w:val="es-MX"/>
        </w:rPr>
        <w:t>.</w:t>
      </w:r>
    </w:p>
    <w:p w14:paraId="31DA279B" w14:textId="77777777" w:rsidR="0066672B" w:rsidRDefault="0066672B" w:rsidP="0066672B">
      <w:pPr>
        <w:autoSpaceDE w:val="0"/>
        <w:autoSpaceDN w:val="0"/>
        <w:adjustRightInd w:val="0"/>
        <w:spacing w:after="0" w:line="240" w:lineRule="auto"/>
        <w:jc w:val="both"/>
        <w:rPr>
          <w:rFonts w:ascii="Arial" w:hAnsi="Arial" w:cs="Arial"/>
          <w:i/>
          <w:iCs/>
          <w:lang w:val="es-MX"/>
        </w:rPr>
      </w:pPr>
    </w:p>
    <w:p w14:paraId="22C1435C" w14:textId="4CAD4AD5" w:rsidR="00EC2A33" w:rsidRDefault="00EC2A33" w:rsidP="00EC2A33">
      <w:pPr>
        <w:autoSpaceDE w:val="0"/>
        <w:autoSpaceDN w:val="0"/>
        <w:adjustRightInd w:val="0"/>
        <w:spacing w:after="0" w:line="240" w:lineRule="auto"/>
        <w:jc w:val="both"/>
        <w:rPr>
          <w:rFonts w:ascii="Arial" w:hAnsi="Arial" w:cs="Arial"/>
        </w:rPr>
      </w:pPr>
      <w:r>
        <w:rPr>
          <w:rFonts w:ascii="Arial" w:hAnsi="Arial" w:cs="Arial"/>
          <w:lang w:val="es-MX"/>
        </w:rPr>
        <w:t>8</w:t>
      </w:r>
      <w:r w:rsidR="0066672B">
        <w:rPr>
          <w:rFonts w:ascii="Arial" w:hAnsi="Arial" w:cs="Arial"/>
          <w:lang w:val="es-MX"/>
        </w:rPr>
        <w:t>.-</w:t>
      </w:r>
      <w:r w:rsidR="007F41FF">
        <w:rPr>
          <w:rFonts w:ascii="Arial" w:hAnsi="Arial" w:cs="Arial"/>
          <w:lang w:val="es-MX"/>
        </w:rPr>
        <w:t xml:space="preserve"> El Plan de Fortalecimiento de la IES</w:t>
      </w:r>
      <w:r w:rsidR="007F41FF" w:rsidRPr="00793C25">
        <w:rPr>
          <w:rStyle w:val="Refdenotaalpie"/>
          <w:rFonts w:ascii="Arial" w:hAnsi="Arial" w:cs="Arial"/>
          <w:b/>
          <w:bCs/>
          <w:lang w:val="es-MX"/>
        </w:rPr>
        <w:footnoteReference w:id="2"/>
      </w:r>
      <w:r>
        <w:rPr>
          <w:rFonts w:ascii="Arial" w:hAnsi="Arial" w:cs="Arial"/>
          <w:lang w:val="es-MX"/>
        </w:rPr>
        <w:t xml:space="preserve"> fue</w:t>
      </w:r>
      <w:r w:rsidRPr="00E45355">
        <w:rPr>
          <w:rFonts w:ascii="Arial" w:hAnsi="Arial" w:cs="Arial"/>
        </w:rPr>
        <w:t xml:space="preserve"> construido con la participación activa de los actores claves del quehacer universitario, a partir de una visión compartida de futuro, replanteando la misión, siendo el objetivo común más importante, el mejoramiento sustancial de la calidad de la educación que ofrece a los estudiantes de la </w:t>
      </w:r>
      <w:r>
        <w:rPr>
          <w:rFonts w:ascii="Arial" w:hAnsi="Arial" w:cs="Arial"/>
        </w:rPr>
        <w:t>p</w:t>
      </w:r>
      <w:r w:rsidRPr="00E45355">
        <w:rPr>
          <w:rFonts w:ascii="Arial" w:hAnsi="Arial" w:cs="Arial"/>
        </w:rPr>
        <w:t xml:space="preserve">rovincia de Manabí y del </w:t>
      </w:r>
      <w:r>
        <w:rPr>
          <w:rFonts w:ascii="Arial" w:hAnsi="Arial" w:cs="Arial"/>
        </w:rPr>
        <w:t>p</w:t>
      </w:r>
      <w:r w:rsidRPr="00E45355">
        <w:rPr>
          <w:rFonts w:ascii="Arial" w:hAnsi="Arial" w:cs="Arial"/>
        </w:rPr>
        <w:t>aís, y en consecuencia el logro de la acreditación universitaria con la máxima categorización, considerando que la educación superior es parte fundamental de un proceso de grandes cambios no solo a nivel local, sino regional y nacional.</w:t>
      </w:r>
    </w:p>
    <w:p w14:paraId="6B41EA39" w14:textId="77777777" w:rsidR="00EC2A33" w:rsidRDefault="00EC2A33" w:rsidP="00EC2A33">
      <w:pPr>
        <w:autoSpaceDE w:val="0"/>
        <w:autoSpaceDN w:val="0"/>
        <w:adjustRightInd w:val="0"/>
        <w:spacing w:after="0" w:line="240" w:lineRule="auto"/>
        <w:jc w:val="both"/>
        <w:rPr>
          <w:rFonts w:ascii="Arial" w:hAnsi="Arial" w:cs="Arial"/>
        </w:rPr>
      </w:pPr>
    </w:p>
    <w:p w14:paraId="5AC389B0" w14:textId="77777777" w:rsidR="00EC2A33" w:rsidRDefault="00EC2A33" w:rsidP="00EC2A33">
      <w:pPr>
        <w:pStyle w:val="Default"/>
        <w:jc w:val="both"/>
        <w:rPr>
          <w:rFonts w:ascii="Arial" w:hAnsi="Arial" w:cs="Arial"/>
          <w:i/>
          <w:iCs/>
          <w:sz w:val="22"/>
          <w:szCs w:val="22"/>
        </w:rPr>
      </w:pPr>
      <w:r w:rsidRPr="00A810E3">
        <w:rPr>
          <w:rFonts w:ascii="Arial" w:hAnsi="Arial" w:cs="Arial"/>
          <w:sz w:val="22"/>
          <w:szCs w:val="22"/>
        </w:rPr>
        <w:t>El objetivo estratégico No.2 de dicho documento manifiesta:</w:t>
      </w:r>
      <w:r>
        <w:rPr>
          <w:rFonts w:ascii="Arial" w:hAnsi="Arial" w:cs="Arial"/>
        </w:rPr>
        <w:t xml:space="preserve"> </w:t>
      </w:r>
      <w:r>
        <w:rPr>
          <w:rFonts w:ascii="Arial" w:hAnsi="Arial" w:cs="Arial"/>
          <w:i/>
          <w:iCs/>
        </w:rPr>
        <w:t>“</w:t>
      </w:r>
      <w:r w:rsidRPr="00E45355">
        <w:rPr>
          <w:rFonts w:ascii="Arial" w:hAnsi="Arial" w:cs="Arial"/>
          <w:i/>
          <w:iCs/>
          <w:sz w:val="22"/>
          <w:szCs w:val="22"/>
        </w:rPr>
        <w:t>Hasta 2017, replantear el rol del docente, para que con mayor fundamentación científica y pedagógica, pueda asumir su función de facilitador o guía de un proceso comunicacional con el estudiante como centro de su propia formación, y que le entregue los instrumentos para la apropiación del conocimiento y las tecnologías, en un ambiente trans e interdisciplinario.</w:t>
      </w:r>
      <w:r>
        <w:rPr>
          <w:rFonts w:ascii="Arial" w:hAnsi="Arial" w:cs="Arial"/>
          <w:i/>
          <w:iCs/>
          <w:sz w:val="22"/>
          <w:szCs w:val="22"/>
        </w:rPr>
        <w:t>”</w:t>
      </w:r>
      <w:r w:rsidRPr="001346B9">
        <w:rPr>
          <w:rStyle w:val="Refdenotaalpie"/>
          <w:rFonts w:ascii="Arial" w:hAnsi="Arial" w:cs="Arial"/>
          <w:b/>
          <w:bCs/>
          <w:i/>
          <w:iCs/>
          <w:sz w:val="22"/>
          <w:szCs w:val="22"/>
        </w:rPr>
        <w:footnoteReference w:id="3"/>
      </w:r>
      <w:r w:rsidRPr="00E45355">
        <w:rPr>
          <w:rFonts w:ascii="Arial" w:hAnsi="Arial" w:cs="Arial"/>
          <w:i/>
          <w:iCs/>
          <w:sz w:val="22"/>
          <w:szCs w:val="22"/>
        </w:rPr>
        <w:t xml:space="preserve"> </w:t>
      </w:r>
    </w:p>
    <w:p w14:paraId="1A85FDE1" w14:textId="77777777" w:rsidR="00EC2A33" w:rsidRDefault="00EC2A33" w:rsidP="00EC2A33">
      <w:pPr>
        <w:pStyle w:val="Default"/>
        <w:jc w:val="both"/>
        <w:rPr>
          <w:rFonts w:ascii="Arial" w:hAnsi="Arial" w:cs="Arial"/>
          <w:i/>
          <w:iCs/>
          <w:sz w:val="22"/>
          <w:szCs w:val="22"/>
        </w:rPr>
      </w:pPr>
    </w:p>
    <w:p w14:paraId="21696B85" w14:textId="77777777" w:rsidR="00EC2A33" w:rsidRDefault="00EC2A33" w:rsidP="00EC2A33">
      <w:pPr>
        <w:pStyle w:val="Default"/>
        <w:jc w:val="both"/>
        <w:rPr>
          <w:rFonts w:ascii="Arial" w:hAnsi="Arial" w:cs="Arial"/>
          <w:i/>
          <w:iCs/>
          <w:sz w:val="22"/>
          <w:szCs w:val="22"/>
        </w:rPr>
      </w:pPr>
      <w:r>
        <w:rPr>
          <w:rFonts w:ascii="Arial" w:hAnsi="Arial" w:cs="Arial"/>
          <w:sz w:val="22"/>
          <w:szCs w:val="22"/>
        </w:rPr>
        <w:lastRenderedPageBreak/>
        <w:t xml:space="preserve">El objetivo táctico No.2.3 determina: </w:t>
      </w:r>
      <w:r>
        <w:rPr>
          <w:rFonts w:ascii="Arial" w:hAnsi="Arial" w:cs="Arial"/>
          <w:i/>
          <w:iCs/>
          <w:sz w:val="22"/>
          <w:szCs w:val="22"/>
        </w:rPr>
        <w:t>“</w:t>
      </w:r>
      <w:r w:rsidRPr="00E45355">
        <w:rPr>
          <w:rFonts w:ascii="Arial" w:hAnsi="Arial" w:cs="Arial"/>
          <w:i/>
          <w:iCs/>
          <w:sz w:val="22"/>
          <w:szCs w:val="22"/>
        </w:rPr>
        <w:t>Hasta diciembre 2014, incrementar remuneraciones y estabilidad de los docentes para garantizar el ejercicio de las funciones establecidas en el Reglamento de Escalafón y para favorecer su carrera docente.</w:t>
      </w:r>
      <w:r>
        <w:rPr>
          <w:rFonts w:ascii="Arial" w:hAnsi="Arial" w:cs="Arial"/>
          <w:i/>
          <w:iCs/>
          <w:sz w:val="22"/>
          <w:szCs w:val="22"/>
        </w:rPr>
        <w:t>”</w:t>
      </w:r>
      <w:r w:rsidRPr="00060CB6">
        <w:rPr>
          <w:rStyle w:val="Refdenotaalpie"/>
          <w:rFonts w:ascii="Arial" w:hAnsi="Arial" w:cs="Arial"/>
          <w:b/>
          <w:bCs/>
          <w:i/>
          <w:iCs/>
          <w:sz w:val="22"/>
          <w:szCs w:val="22"/>
        </w:rPr>
        <w:footnoteReference w:id="4"/>
      </w:r>
    </w:p>
    <w:p w14:paraId="644E8B6E" w14:textId="77777777" w:rsidR="00EC2A33" w:rsidRDefault="00EC2A33" w:rsidP="00EC2A33">
      <w:pPr>
        <w:pStyle w:val="Default"/>
        <w:jc w:val="both"/>
        <w:rPr>
          <w:rFonts w:ascii="Arial" w:hAnsi="Arial" w:cs="Arial"/>
          <w:i/>
          <w:iCs/>
          <w:sz w:val="22"/>
          <w:szCs w:val="22"/>
        </w:rPr>
      </w:pPr>
    </w:p>
    <w:p w14:paraId="3447EB0E" w14:textId="77777777" w:rsidR="00EC2A33" w:rsidRDefault="00EC2A33" w:rsidP="00EC2A33">
      <w:pPr>
        <w:pStyle w:val="Default"/>
        <w:jc w:val="both"/>
        <w:rPr>
          <w:rFonts w:ascii="Arial" w:hAnsi="Arial" w:cs="Arial"/>
          <w:sz w:val="22"/>
          <w:szCs w:val="22"/>
        </w:rPr>
      </w:pPr>
      <w:r>
        <w:rPr>
          <w:rFonts w:ascii="Arial" w:hAnsi="Arial" w:cs="Arial"/>
          <w:sz w:val="22"/>
          <w:szCs w:val="22"/>
        </w:rPr>
        <w:t>El Plan de Fortalecimiento de la Uleam, tuvo oportunamente dos niveles de aprobación:</w:t>
      </w:r>
    </w:p>
    <w:p w14:paraId="461147BC" w14:textId="77777777" w:rsidR="00EC2A33" w:rsidRDefault="00EC2A33" w:rsidP="00EC2A33">
      <w:pPr>
        <w:pStyle w:val="Default"/>
        <w:jc w:val="both"/>
        <w:rPr>
          <w:rFonts w:ascii="Arial" w:hAnsi="Arial" w:cs="Arial"/>
          <w:sz w:val="22"/>
          <w:szCs w:val="22"/>
        </w:rPr>
      </w:pPr>
    </w:p>
    <w:p w14:paraId="1FF9D45C" w14:textId="77777777" w:rsidR="00EC2A33" w:rsidRPr="00262C13" w:rsidRDefault="00EC2A33" w:rsidP="00EC2A33">
      <w:pPr>
        <w:pStyle w:val="Default"/>
        <w:numPr>
          <w:ilvl w:val="0"/>
          <w:numId w:val="1"/>
        </w:numPr>
        <w:jc w:val="both"/>
        <w:rPr>
          <w:sz w:val="23"/>
          <w:szCs w:val="23"/>
        </w:rPr>
      </w:pPr>
      <w:r>
        <w:rPr>
          <w:rFonts w:ascii="Arial" w:hAnsi="Arial" w:cs="Arial"/>
          <w:sz w:val="22"/>
          <w:szCs w:val="22"/>
        </w:rPr>
        <w:t>Mediante Resolución No.027-2014-HCU-SG-CSC de fecha 27 de febrero de 2014, adoptada en la Sesión Ordinaria del H. Consejo Universitario, realizada el miércoles 26 de febrero de 2014; y,</w:t>
      </w:r>
    </w:p>
    <w:p w14:paraId="4E5497D3" w14:textId="77777777" w:rsidR="00EC2A33" w:rsidRDefault="00EC2A33" w:rsidP="00EC2A33">
      <w:pPr>
        <w:pStyle w:val="Default"/>
        <w:numPr>
          <w:ilvl w:val="0"/>
          <w:numId w:val="1"/>
        </w:numPr>
        <w:jc w:val="both"/>
        <w:rPr>
          <w:sz w:val="23"/>
          <w:szCs w:val="23"/>
        </w:rPr>
      </w:pPr>
      <w:r>
        <w:rPr>
          <w:rFonts w:ascii="Arial" w:hAnsi="Arial" w:cs="Arial"/>
          <w:sz w:val="22"/>
          <w:szCs w:val="22"/>
        </w:rPr>
        <w:t>Resolución No.034-CEAACES-SE-07-2014 de fecha 16 de abril de 2014,</w:t>
      </w:r>
      <w:r w:rsidRPr="00262C13">
        <w:rPr>
          <w:rFonts w:ascii="Arial" w:hAnsi="Arial" w:cs="Arial"/>
          <w:sz w:val="22"/>
          <w:szCs w:val="22"/>
        </w:rPr>
        <w:t xml:space="preserve"> </w:t>
      </w:r>
      <w:r>
        <w:rPr>
          <w:rFonts w:ascii="Arial" w:hAnsi="Arial" w:cs="Arial"/>
          <w:sz w:val="22"/>
          <w:szCs w:val="22"/>
        </w:rPr>
        <w:t>tomada en la séptima sesión extraordinaria del Pleno del Consejo de Evaluación, Acreditación y Aseguramiento de la Calidad de la Educación Superior.</w:t>
      </w:r>
    </w:p>
    <w:p w14:paraId="1E5161A8" w14:textId="77777777" w:rsidR="00EC2A33" w:rsidRDefault="00EC2A33" w:rsidP="00EC2A33">
      <w:pPr>
        <w:pStyle w:val="Default"/>
        <w:jc w:val="both"/>
        <w:rPr>
          <w:sz w:val="23"/>
          <w:szCs w:val="23"/>
        </w:rPr>
      </w:pPr>
    </w:p>
    <w:p w14:paraId="192E303D" w14:textId="331C2201" w:rsidR="0066672B" w:rsidRDefault="00EC2A33" w:rsidP="00EC2A33">
      <w:pPr>
        <w:autoSpaceDE w:val="0"/>
        <w:autoSpaceDN w:val="0"/>
        <w:adjustRightInd w:val="0"/>
        <w:spacing w:after="0" w:line="240" w:lineRule="auto"/>
        <w:jc w:val="both"/>
        <w:rPr>
          <w:rFonts w:ascii="Arial" w:hAnsi="Arial" w:cs="Arial"/>
          <w:lang w:val="es-MX"/>
        </w:rPr>
      </w:pPr>
      <w:r w:rsidRPr="00262C13">
        <w:rPr>
          <w:rFonts w:ascii="Arial" w:hAnsi="Arial" w:cs="Arial"/>
        </w:rPr>
        <w:t xml:space="preserve">Ambas resoluciones fueron notificadas al Consejo de Educación Superior.     </w:t>
      </w:r>
    </w:p>
    <w:p w14:paraId="1BFD6037" w14:textId="77777777" w:rsidR="00793C25" w:rsidRDefault="00793C25" w:rsidP="0066672B">
      <w:pPr>
        <w:autoSpaceDE w:val="0"/>
        <w:autoSpaceDN w:val="0"/>
        <w:adjustRightInd w:val="0"/>
        <w:spacing w:after="0" w:line="240" w:lineRule="auto"/>
        <w:jc w:val="both"/>
        <w:rPr>
          <w:rFonts w:ascii="Arial" w:hAnsi="Arial" w:cs="Arial"/>
          <w:lang w:val="es-MX"/>
        </w:rPr>
      </w:pPr>
    </w:p>
    <w:p w14:paraId="3C478097" w14:textId="34BAAA76" w:rsidR="00C10CC1" w:rsidRDefault="00EC2A33" w:rsidP="00793C25">
      <w:pPr>
        <w:autoSpaceDE w:val="0"/>
        <w:autoSpaceDN w:val="0"/>
        <w:adjustRightInd w:val="0"/>
        <w:spacing w:after="0" w:line="240" w:lineRule="auto"/>
        <w:jc w:val="both"/>
        <w:rPr>
          <w:rFonts w:ascii="Arial" w:hAnsi="Arial" w:cs="Arial"/>
          <w:lang w:val="es-MX"/>
        </w:rPr>
      </w:pPr>
      <w:r>
        <w:rPr>
          <w:rFonts w:ascii="Arial" w:hAnsi="Arial" w:cs="Arial"/>
          <w:lang w:val="es-MX"/>
        </w:rPr>
        <w:t xml:space="preserve">9.- En atención al Plan de Fortalecimiento de la Uleam y de conformidad a la base legal citada en numerales y literales anteriores, queda fehacientemente establecido </w:t>
      </w:r>
      <w:r w:rsidR="00D51EDD">
        <w:rPr>
          <w:rFonts w:ascii="Arial" w:hAnsi="Arial" w:cs="Arial"/>
          <w:lang w:val="es-MX"/>
        </w:rPr>
        <w:t xml:space="preserve">que el incremento salarial, no fue un aumento de sueldo, sino una nivelación de la R.M.U. de los docentes, tal es así, que las autoridades: Rector, Miembros del Consejo Universitario y de la Comisión de Escalafón y Perfeccionamiento Docente, así como los Directores responsables de la gestión financiera y de la administración del talento humano, procedieron a </w:t>
      </w:r>
      <w:r w:rsidR="001D6E74">
        <w:rPr>
          <w:rFonts w:ascii="Arial" w:hAnsi="Arial" w:cs="Arial"/>
          <w:lang w:val="es-MX"/>
        </w:rPr>
        <w:t xml:space="preserve">iniciar el proceso de </w:t>
      </w:r>
      <w:r w:rsidR="00D51EDD">
        <w:rPr>
          <w:rFonts w:ascii="Arial" w:hAnsi="Arial" w:cs="Arial"/>
          <w:lang w:val="es-MX"/>
        </w:rPr>
        <w:t>nivela</w:t>
      </w:r>
      <w:r w:rsidR="001D6E74">
        <w:rPr>
          <w:rFonts w:ascii="Arial" w:hAnsi="Arial" w:cs="Arial"/>
          <w:lang w:val="es-MX"/>
        </w:rPr>
        <w:t>ción de</w:t>
      </w:r>
      <w:r w:rsidR="00D51EDD">
        <w:rPr>
          <w:rFonts w:ascii="Arial" w:hAnsi="Arial" w:cs="Arial"/>
          <w:lang w:val="es-MX"/>
        </w:rPr>
        <w:t xml:space="preserve"> las remuneraciones de los profesores </w:t>
      </w:r>
      <w:r w:rsidR="001D6E74">
        <w:rPr>
          <w:rFonts w:ascii="Arial" w:hAnsi="Arial" w:cs="Arial"/>
          <w:lang w:val="es-MX"/>
        </w:rPr>
        <w:t xml:space="preserve">titulares </w:t>
      </w:r>
      <w:r w:rsidR="00D51EDD">
        <w:rPr>
          <w:rFonts w:ascii="Arial" w:hAnsi="Arial" w:cs="Arial"/>
          <w:lang w:val="es-MX"/>
        </w:rPr>
        <w:t>de la Uleam.</w:t>
      </w:r>
    </w:p>
    <w:p w14:paraId="594E8A63" w14:textId="77777777" w:rsidR="00C10CC1" w:rsidRDefault="00C10CC1" w:rsidP="00793C25">
      <w:pPr>
        <w:autoSpaceDE w:val="0"/>
        <w:autoSpaceDN w:val="0"/>
        <w:adjustRightInd w:val="0"/>
        <w:spacing w:after="0" w:line="240" w:lineRule="auto"/>
        <w:jc w:val="both"/>
        <w:rPr>
          <w:rFonts w:ascii="Arial" w:hAnsi="Arial" w:cs="Arial"/>
          <w:lang w:val="es-MX"/>
        </w:rPr>
      </w:pPr>
    </w:p>
    <w:p w14:paraId="748FFE7C" w14:textId="77777777" w:rsidR="00351A02" w:rsidRDefault="00351A02" w:rsidP="00351A02">
      <w:pPr>
        <w:autoSpaceDE w:val="0"/>
        <w:autoSpaceDN w:val="0"/>
        <w:adjustRightInd w:val="0"/>
        <w:spacing w:after="0" w:line="240" w:lineRule="auto"/>
        <w:jc w:val="both"/>
        <w:rPr>
          <w:rFonts w:ascii="Arial" w:hAnsi="Arial" w:cs="Arial"/>
          <w:lang w:val="es-MX"/>
        </w:rPr>
      </w:pPr>
      <w:r>
        <w:rPr>
          <w:rFonts w:ascii="Arial" w:hAnsi="Arial" w:cs="Arial"/>
          <w:lang w:val="es-MX"/>
        </w:rPr>
        <w:t>Normativas legales que no han sido consideradas causándome un daño económico, psicológico y moral, al tratar de vulnerar mis derechos constitucionales; reservándome el derecho de instaurar acciones legales que traen como consecuencia la reparación integral por los daños ocasionados, en caso de que se pretenda continuar con este proceso.</w:t>
      </w:r>
    </w:p>
    <w:p w14:paraId="6F014AFD" w14:textId="1FA6C97E" w:rsidR="00C10CC1" w:rsidRDefault="00C10CC1" w:rsidP="00793C25">
      <w:pPr>
        <w:autoSpaceDE w:val="0"/>
        <w:autoSpaceDN w:val="0"/>
        <w:adjustRightInd w:val="0"/>
        <w:spacing w:after="0" w:line="240" w:lineRule="auto"/>
        <w:jc w:val="both"/>
        <w:rPr>
          <w:rFonts w:ascii="Arial" w:hAnsi="Arial" w:cs="Arial"/>
          <w:lang w:val="es-MX"/>
        </w:rPr>
      </w:pPr>
    </w:p>
    <w:p w14:paraId="64A042AB" w14:textId="77777777" w:rsidR="00CF6BE7" w:rsidRDefault="00C10CC1" w:rsidP="00793C25">
      <w:pPr>
        <w:autoSpaceDE w:val="0"/>
        <w:autoSpaceDN w:val="0"/>
        <w:adjustRightInd w:val="0"/>
        <w:spacing w:after="0" w:line="240" w:lineRule="auto"/>
        <w:jc w:val="both"/>
        <w:rPr>
          <w:rFonts w:ascii="Arial" w:hAnsi="Arial" w:cs="Arial"/>
          <w:lang w:val="es-MX"/>
        </w:rPr>
      </w:pPr>
      <w:r>
        <w:rPr>
          <w:rFonts w:ascii="Arial" w:hAnsi="Arial" w:cs="Arial"/>
          <w:lang w:val="es-MX"/>
        </w:rPr>
        <w:t xml:space="preserve">10.- </w:t>
      </w:r>
      <w:r w:rsidR="001D6E74">
        <w:rPr>
          <w:rFonts w:ascii="Arial" w:hAnsi="Arial" w:cs="Arial"/>
          <w:lang w:val="es-MX"/>
        </w:rPr>
        <w:t>Es menester manifestar como antecedente que</w:t>
      </w:r>
      <w:r w:rsidR="00CF6BE7">
        <w:rPr>
          <w:rFonts w:ascii="Arial" w:hAnsi="Arial" w:cs="Arial"/>
          <w:lang w:val="es-MX"/>
        </w:rPr>
        <w:t xml:space="preserve">: </w:t>
      </w:r>
    </w:p>
    <w:p w14:paraId="41CE9216" w14:textId="77777777" w:rsidR="00CF6BE7" w:rsidRDefault="00CF6BE7" w:rsidP="00793C25">
      <w:pPr>
        <w:autoSpaceDE w:val="0"/>
        <w:autoSpaceDN w:val="0"/>
        <w:adjustRightInd w:val="0"/>
        <w:spacing w:after="0" w:line="240" w:lineRule="auto"/>
        <w:jc w:val="both"/>
        <w:rPr>
          <w:rFonts w:ascii="Arial" w:hAnsi="Arial" w:cs="Arial"/>
          <w:lang w:val="es-MX"/>
        </w:rPr>
      </w:pPr>
    </w:p>
    <w:p w14:paraId="5C8CAABB" w14:textId="065EE381" w:rsidR="00C10CC1" w:rsidRPr="00A810E3" w:rsidRDefault="00CF6BE7" w:rsidP="00CF6BE7">
      <w:pPr>
        <w:pStyle w:val="Prrafodelista"/>
        <w:numPr>
          <w:ilvl w:val="0"/>
          <w:numId w:val="2"/>
        </w:numPr>
        <w:autoSpaceDE w:val="0"/>
        <w:autoSpaceDN w:val="0"/>
        <w:adjustRightInd w:val="0"/>
        <w:spacing w:after="0" w:line="240" w:lineRule="auto"/>
        <w:jc w:val="both"/>
        <w:rPr>
          <w:rFonts w:ascii="Arial" w:hAnsi="Arial" w:cs="Arial"/>
        </w:rPr>
      </w:pPr>
      <w:r w:rsidRPr="00CF6BE7">
        <w:rPr>
          <w:rFonts w:ascii="Arial" w:hAnsi="Arial" w:cs="Arial"/>
          <w:lang w:val="es-MX"/>
        </w:rPr>
        <w:t>M</w:t>
      </w:r>
      <w:r w:rsidR="001D6E74" w:rsidRPr="00CF6BE7">
        <w:rPr>
          <w:rFonts w:ascii="Arial" w:hAnsi="Arial" w:cs="Arial"/>
        </w:rPr>
        <w:t>ediante</w:t>
      </w:r>
      <w:r w:rsidR="00C10CC1" w:rsidRPr="00CF6BE7">
        <w:rPr>
          <w:rFonts w:ascii="Arial" w:hAnsi="Arial" w:cs="Arial"/>
        </w:rPr>
        <w:t xml:space="preserve"> Resoluciones</w:t>
      </w:r>
      <w:r w:rsidRPr="00CF6BE7">
        <w:rPr>
          <w:rFonts w:ascii="Arial" w:hAnsi="Arial" w:cs="Arial"/>
        </w:rPr>
        <w:t xml:space="preserve"> </w:t>
      </w:r>
      <w:r w:rsidR="00C10CC1" w:rsidRPr="00CF6BE7">
        <w:rPr>
          <w:rFonts w:ascii="Arial" w:hAnsi="Arial" w:cs="Arial"/>
        </w:rPr>
        <w:t xml:space="preserve">No.149-2013-HCU de fecha 4 de diciembre del 2013, y </w:t>
      </w:r>
      <w:r w:rsidR="001D6E74" w:rsidRPr="00CF6BE7">
        <w:rPr>
          <w:rFonts w:ascii="Arial" w:hAnsi="Arial" w:cs="Arial"/>
        </w:rPr>
        <w:t xml:space="preserve"> </w:t>
      </w:r>
      <w:r w:rsidR="00C10CC1" w:rsidRPr="00CF6BE7">
        <w:rPr>
          <w:rFonts w:ascii="Arial" w:hAnsi="Arial" w:cs="Arial"/>
        </w:rPr>
        <w:t>No.150-2013-HCU de 10 de diciembre del mismo año, el H. Consejo Universitario, resolvió autorizar la categorización de los docentes universitarios y a la vez determinó notificar sobre este particular de manera individual al personal académico</w:t>
      </w:r>
      <w:r w:rsidR="00AB2F3C" w:rsidRPr="00CF6BE7">
        <w:rPr>
          <w:rFonts w:ascii="Arial" w:hAnsi="Arial" w:cs="Arial"/>
        </w:rPr>
        <w:t xml:space="preserve"> titular, de conformidad a lo determinado en el Reglamento de Carrera y Escalafón del Profesor e Investigador del Sistema de Educación Superior, conforme lo dispone el Art.46 y Disposición Transitoria Quinta del reglamento antes citado, en concordancia con los Grados 13, 15 y 19 de la Escala de Remuneraciones </w:t>
      </w:r>
      <w:r w:rsidR="001D6E74" w:rsidRPr="00CF6BE7">
        <w:rPr>
          <w:rFonts w:ascii="Arial" w:hAnsi="Arial" w:cs="Arial"/>
        </w:rPr>
        <w:t>Mensuales Unificadas</w:t>
      </w:r>
      <w:r w:rsidR="00AB2F3C" w:rsidRPr="00CF6BE7">
        <w:rPr>
          <w:rFonts w:ascii="Arial" w:hAnsi="Arial" w:cs="Arial"/>
        </w:rPr>
        <w:t xml:space="preserve"> emitida</w:t>
      </w:r>
      <w:r w:rsidR="001D6E74" w:rsidRPr="00CF6BE7">
        <w:rPr>
          <w:rFonts w:ascii="Arial" w:hAnsi="Arial" w:cs="Arial"/>
        </w:rPr>
        <w:t xml:space="preserve"> por el Ing. Richard Espinosa, Ministro de Relaciones Laborales, mediante Resolución No.MRL-2012-0021 de fecha 27 de enero de 2012; la cual de conformidad con el Oficio No.MINFIN-DM-2012-0050, de 27 de enero de 2012 del Ministerio de Finanzas, mediante el cual emite dictamen presupuestario favorable para la sustitución de los valores de la escala de remuneración mensual unificada (…) y se aplicarán con los recursos institucionales, para lo cual de ser el caso esa Cartera de Estado efectuará las respectivas modificaciones presupuestarias.</w:t>
      </w:r>
    </w:p>
    <w:p w14:paraId="47C03A13" w14:textId="3480C62B" w:rsidR="00CF6BE7" w:rsidRPr="00A810E3" w:rsidRDefault="00CF6BE7" w:rsidP="00793C25">
      <w:pPr>
        <w:autoSpaceDE w:val="0"/>
        <w:autoSpaceDN w:val="0"/>
        <w:adjustRightInd w:val="0"/>
        <w:spacing w:after="0" w:line="240" w:lineRule="auto"/>
        <w:jc w:val="both"/>
        <w:rPr>
          <w:rFonts w:ascii="Arial" w:hAnsi="Arial" w:cs="Arial"/>
        </w:rPr>
      </w:pPr>
    </w:p>
    <w:p w14:paraId="4B3F1C3D" w14:textId="3097416B" w:rsidR="00CF6BE7" w:rsidRPr="00A810E3" w:rsidRDefault="00CF6BE7" w:rsidP="00CF6BE7">
      <w:pPr>
        <w:pStyle w:val="Prrafodelista"/>
        <w:numPr>
          <w:ilvl w:val="0"/>
          <w:numId w:val="2"/>
        </w:numPr>
        <w:autoSpaceDE w:val="0"/>
        <w:autoSpaceDN w:val="0"/>
        <w:adjustRightInd w:val="0"/>
        <w:spacing w:after="0" w:line="240" w:lineRule="auto"/>
        <w:jc w:val="both"/>
        <w:rPr>
          <w:rFonts w:ascii="Arial" w:hAnsi="Arial" w:cs="Arial"/>
          <w:lang w:val="es-MX"/>
        </w:rPr>
      </w:pPr>
      <w:r w:rsidRPr="00A810E3">
        <w:rPr>
          <w:rFonts w:ascii="Arial" w:hAnsi="Arial" w:cs="Arial"/>
        </w:rPr>
        <w:lastRenderedPageBreak/>
        <w:t xml:space="preserve">Mediante Resolución Administrativa No.023-2014, </w:t>
      </w:r>
      <w:r w:rsidR="00BC7CF7" w:rsidRPr="00A810E3">
        <w:rPr>
          <w:rFonts w:ascii="Arial" w:hAnsi="Arial" w:cs="Arial"/>
        </w:rPr>
        <w:t xml:space="preserve">de fecha 29 de octubre de 2014; </w:t>
      </w:r>
      <w:r w:rsidRPr="00A810E3">
        <w:rPr>
          <w:rFonts w:ascii="Arial" w:hAnsi="Arial" w:cs="Arial"/>
        </w:rPr>
        <w:t xml:space="preserve">el Rector del período comprendido entre enero de 2013 y marzo de 2015, </w:t>
      </w:r>
      <w:r w:rsidR="00BC7CF7" w:rsidRPr="00A810E3">
        <w:rPr>
          <w:rFonts w:ascii="Arial" w:hAnsi="Arial" w:cs="Arial"/>
        </w:rPr>
        <w:t xml:space="preserve">resuelve: </w:t>
      </w:r>
      <w:r w:rsidR="00BC7CF7" w:rsidRPr="00A810E3">
        <w:rPr>
          <w:rFonts w:ascii="Arial" w:hAnsi="Arial" w:cs="Arial"/>
          <w:i/>
          <w:iCs/>
        </w:rPr>
        <w:t xml:space="preserve">“Art.1.- Autorizar a la Dirección Administrativa del Talento Humano, realizar las reformas de modificaciones del personal académico en el distributivo institucional en el Sistema SPRYN, para implementar la resolución del Honorable Consejo Universitario en el mes de noviembre acuerdo al siguiente detalle; (…) y Art.2.- Autorizar a la Dirección Financiera, realizar las reformas presupuestarias pertinentes, para la implementación de esta disposición a partir del mes de Noviembre.” </w:t>
      </w:r>
    </w:p>
    <w:p w14:paraId="0F0559E3" w14:textId="77777777" w:rsidR="00BC7CF7" w:rsidRPr="00A810E3" w:rsidRDefault="00BC7CF7" w:rsidP="00BC7CF7">
      <w:pPr>
        <w:pStyle w:val="Prrafodelista"/>
        <w:rPr>
          <w:rFonts w:ascii="Arial" w:hAnsi="Arial" w:cs="Arial"/>
          <w:lang w:val="es-MX"/>
        </w:rPr>
      </w:pPr>
    </w:p>
    <w:p w14:paraId="35B5803C" w14:textId="2F04396F" w:rsidR="00BC7CF7" w:rsidRPr="00A810E3" w:rsidRDefault="00BC7CF7" w:rsidP="00BC7CF7">
      <w:pPr>
        <w:pStyle w:val="Prrafodelista"/>
        <w:autoSpaceDE w:val="0"/>
        <w:autoSpaceDN w:val="0"/>
        <w:adjustRightInd w:val="0"/>
        <w:spacing w:after="0" w:line="240" w:lineRule="auto"/>
        <w:ind w:left="1428"/>
        <w:jc w:val="both"/>
        <w:rPr>
          <w:rFonts w:ascii="Arial" w:hAnsi="Arial" w:cs="Arial"/>
          <w:lang w:val="es-MX"/>
        </w:rPr>
      </w:pPr>
      <w:r w:rsidRPr="00A810E3">
        <w:rPr>
          <w:rFonts w:ascii="Arial" w:hAnsi="Arial" w:cs="Arial"/>
          <w:lang w:val="es-MX"/>
        </w:rPr>
        <w:t>Cabe indicar que con la resolución administrativa de la autoridad ejecutiva de la IES, se nivelan las remuneraciones al personal académico titular auxiliar y agregado, con dedicación exclusiva o tiempo completo, en USD2.034,00</w:t>
      </w:r>
    </w:p>
    <w:p w14:paraId="501C19A3" w14:textId="71E444D8" w:rsidR="004D4D46" w:rsidRDefault="004D4D46" w:rsidP="004D4D46">
      <w:pPr>
        <w:autoSpaceDE w:val="0"/>
        <w:autoSpaceDN w:val="0"/>
        <w:adjustRightInd w:val="0"/>
        <w:spacing w:after="0" w:line="240" w:lineRule="auto"/>
        <w:jc w:val="both"/>
        <w:rPr>
          <w:rFonts w:ascii="Arial" w:hAnsi="Arial" w:cs="Arial"/>
          <w:lang w:val="es-MX"/>
        </w:rPr>
      </w:pPr>
    </w:p>
    <w:p w14:paraId="0CBEDA37" w14:textId="77777777" w:rsidR="00A810E3" w:rsidRPr="00A810E3" w:rsidRDefault="00A810E3" w:rsidP="00A810E3">
      <w:pPr>
        <w:pStyle w:val="Prrafodelista"/>
        <w:numPr>
          <w:ilvl w:val="0"/>
          <w:numId w:val="2"/>
        </w:numPr>
        <w:autoSpaceDE w:val="0"/>
        <w:autoSpaceDN w:val="0"/>
        <w:adjustRightInd w:val="0"/>
        <w:spacing w:after="0" w:line="240" w:lineRule="auto"/>
        <w:jc w:val="both"/>
        <w:rPr>
          <w:rFonts w:ascii="Arial" w:hAnsi="Arial" w:cs="Arial"/>
          <w:i/>
          <w:iCs/>
        </w:rPr>
      </w:pPr>
      <w:r w:rsidRPr="00A810E3">
        <w:rPr>
          <w:rFonts w:ascii="Arial" w:hAnsi="Arial" w:cs="Arial"/>
        </w:rPr>
        <w:t xml:space="preserve">Mediante memorándum No.123 de fecha 20 de noviembre del 2014, dirigido al Consejo Universitario, el Rector del período comprendido entre enero 2013 y marzo de 2015, realiza una precisión y alcance al memorándum No.110 de fecha 29 de octubre de 2014, indica lo siguiente: </w:t>
      </w:r>
      <w:r w:rsidRPr="00A810E3">
        <w:rPr>
          <w:rFonts w:ascii="Arial" w:hAnsi="Arial" w:cs="Arial"/>
          <w:i/>
          <w:iCs/>
        </w:rPr>
        <w:t xml:space="preserve">“(…) omití indicar que quienes como Docentes </w:t>
      </w:r>
      <w:r w:rsidRPr="00A810E3">
        <w:rPr>
          <w:rFonts w:ascii="Arial" w:hAnsi="Arial" w:cs="Arial"/>
          <w:i/>
          <w:iCs/>
          <w:u w:val="single"/>
        </w:rPr>
        <w:t>Principales</w:t>
      </w:r>
      <w:r w:rsidRPr="00A810E3">
        <w:rPr>
          <w:rFonts w:ascii="Arial" w:hAnsi="Arial" w:cs="Arial"/>
        </w:rPr>
        <w:t xml:space="preserve"> </w:t>
      </w:r>
      <w:r w:rsidRPr="00A810E3">
        <w:rPr>
          <w:rFonts w:ascii="Arial" w:hAnsi="Arial" w:cs="Arial"/>
          <w:i/>
          <w:iCs/>
        </w:rPr>
        <w:t>hubiesen obtenido su Maestría después de la vigencia de la Ley de Educación Superior, también se les incremente su remuneración a US 2.967, así como a los Coordinadores que vienen ejerciendo dichas funciones por designación de los respectivos Consejos de Facultad o Extensión (…)”.</w:t>
      </w:r>
    </w:p>
    <w:p w14:paraId="10C634EB" w14:textId="77777777" w:rsidR="00A810E3" w:rsidRDefault="00A810E3" w:rsidP="00A810E3">
      <w:pPr>
        <w:autoSpaceDE w:val="0"/>
        <w:autoSpaceDN w:val="0"/>
        <w:adjustRightInd w:val="0"/>
        <w:spacing w:after="0" w:line="240" w:lineRule="auto"/>
        <w:jc w:val="both"/>
        <w:rPr>
          <w:rFonts w:ascii="Arial" w:hAnsi="Arial" w:cs="Arial"/>
          <w:i/>
          <w:iCs/>
        </w:rPr>
      </w:pPr>
    </w:p>
    <w:p w14:paraId="1EE8D30C" w14:textId="63BC7F35" w:rsidR="00A810E3" w:rsidRDefault="00A810E3" w:rsidP="00A810E3">
      <w:pPr>
        <w:autoSpaceDE w:val="0"/>
        <w:autoSpaceDN w:val="0"/>
        <w:adjustRightInd w:val="0"/>
        <w:spacing w:after="0" w:line="240" w:lineRule="auto"/>
        <w:ind w:left="1416"/>
        <w:jc w:val="both"/>
        <w:rPr>
          <w:rFonts w:ascii="Arial" w:hAnsi="Arial" w:cs="Arial"/>
          <w:i/>
          <w:iCs/>
        </w:rPr>
      </w:pPr>
      <w:r>
        <w:rPr>
          <w:rFonts w:ascii="Arial" w:hAnsi="Arial" w:cs="Arial"/>
        </w:rPr>
        <w:t xml:space="preserve">Lo antes citado, se complementa con la Resolución                                               No.171-2014-HCU-SG-CSC de fecha 31 de diciembre de 2014, que en su parte pertinente indica: </w:t>
      </w:r>
      <w:r>
        <w:rPr>
          <w:rFonts w:ascii="Arial" w:hAnsi="Arial" w:cs="Arial"/>
          <w:i/>
          <w:iCs/>
        </w:rPr>
        <w:t>“Se acoge la propuesta de Rectorado mediante memorándum No.123 y se la traslada a las Direcciones Financiera y de Talento Humano, para su aplicación.”</w:t>
      </w:r>
    </w:p>
    <w:p w14:paraId="64F52542" w14:textId="77777777" w:rsidR="00A810E3" w:rsidRDefault="00A810E3" w:rsidP="00A810E3">
      <w:pPr>
        <w:autoSpaceDE w:val="0"/>
        <w:autoSpaceDN w:val="0"/>
        <w:adjustRightInd w:val="0"/>
        <w:spacing w:after="0" w:line="240" w:lineRule="auto"/>
        <w:jc w:val="both"/>
        <w:rPr>
          <w:rFonts w:ascii="Arial" w:hAnsi="Arial" w:cs="Arial"/>
          <w:i/>
          <w:iCs/>
        </w:rPr>
      </w:pPr>
    </w:p>
    <w:p w14:paraId="2BA35422" w14:textId="77777777" w:rsidR="00A810E3" w:rsidRDefault="00A810E3" w:rsidP="00A810E3">
      <w:pPr>
        <w:spacing w:after="0"/>
        <w:jc w:val="both"/>
        <w:rPr>
          <w:rFonts w:ascii="Arial" w:hAnsi="Arial" w:cs="Arial"/>
        </w:rPr>
      </w:pPr>
      <w:r w:rsidRPr="00F66096">
        <w:rPr>
          <w:rFonts w:ascii="Arial" w:hAnsi="Arial" w:cs="Arial"/>
        </w:rPr>
        <w:t xml:space="preserve">Particular que remito con la finalidad de que </w:t>
      </w:r>
      <w:r>
        <w:rPr>
          <w:rFonts w:ascii="Arial" w:hAnsi="Arial" w:cs="Arial"/>
        </w:rPr>
        <w:t>mis opiniones y documentos que adjunto en …. (…) fojas útiles,</w:t>
      </w:r>
      <w:r w:rsidRPr="00F66096">
        <w:rPr>
          <w:rFonts w:ascii="Arial" w:hAnsi="Arial" w:cs="Arial"/>
        </w:rPr>
        <w:t xml:space="preserve"> sea</w:t>
      </w:r>
      <w:r>
        <w:rPr>
          <w:rFonts w:ascii="Arial" w:hAnsi="Arial" w:cs="Arial"/>
        </w:rPr>
        <w:t>n</w:t>
      </w:r>
      <w:r w:rsidRPr="00F66096">
        <w:rPr>
          <w:rFonts w:ascii="Arial" w:hAnsi="Arial" w:cs="Arial"/>
        </w:rPr>
        <w:t xml:space="preserve"> incorporada</w:t>
      </w:r>
      <w:r>
        <w:rPr>
          <w:rFonts w:ascii="Arial" w:hAnsi="Arial" w:cs="Arial"/>
        </w:rPr>
        <w:t>s</w:t>
      </w:r>
      <w:r w:rsidRPr="00F66096">
        <w:rPr>
          <w:rFonts w:ascii="Arial" w:hAnsi="Arial" w:cs="Arial"/>
        </w:rPr>
        <w:t xml:space="preserve"> en su contenido íntegro </w:t>
      </w:r>
      <w:r>
        <w:rPr>
          <w:rFonts w:ascii="Arial" w:hAnsi="Arial" w:cs="Arial"/>
        </w:rPr>
        <w:t>en los resultados por usted obtenidos, lo que permitirá desvanecer presuntas</w:t>
      </w:r>
      <w:r w:rsidRPr="00F66096">
        <w:rPr>
          <w:rFonts w:ascii="Arial" w:hAnsi="Arial" w:cs="Arial"/>
        </w:rPr>
        <w:t xml:space="preserve"> responsabilidad</w:t>
      </w:r>
      <w:r>
        <w:rPr>
          <w:rFonts w:ascii="Arial" w:hAnsi="Arial" w:cs="Arial"/>
        </w:rPr>
        <w:t>es</w:t>
      </w:r>
      <w:r w:rsidRPr="00F66096">
        <w:rPr>
          <w:rFonts w:ascii="Arial" w:hAnsi="Arial" w:cs="Arial"/>
        </w:rPr>
        <w:t xml:space="preserve"> que pueda</w:t>
      </w:r>
      <w:r>
        <w:rPr>
          <w:rFonts w:ascii="Arial" w:hAnsi="Arial" w:cs="Arial"/>
        </w:rPr>
        <w:t>n</w:t>
      </w:r>
      <w:r w:rsidRPr="00F66096">
        <w:rPr>
          <w:rFonts w:ascii="Arial" w:hAnsi="Arial" w:cs="Arial"/>
        </w:rPr>
        <w:t xml:space="preserve"> generarse del Examen Especial </w:t>
      </w:r>
      <w:r>
        <w:rPr>
          <w:rFonts w:ascii="Arial" w:hAnsi="Arial" w:cs="Arial"/>
        </w:rPr>
        <w:t>a las operaciones administrativas y financieras; y, a los procesos de contratación de obras y consultorías en sus fases: preparatoria, precontractual, contractual, fiscalización, liquidación y pago; y análisis de denuncias en la UNIVERSIDAD LAICA ELOY ALFARO DE MANABÍ, por el período comprendido entre el 1 de enero de 2013 y el 31 de octubre de 2018.</w:t>
      </w:r>
    </w:p>
    <w:p w14:paraId="33DF5932" w14:textId="77777777" w:rsidR="00A810E3" w:rsidRDefault="00A810E3" w:rsidP="00A810E3">
      <w:pPr>
        <w:spacing w:after="0"/>
        <w:jc w:val="both"/>
        <w:rPr>
          <w:rFonts w:ascii="Arial" w:hAnsi="Arial" w:cs="Arial"/>
        </w:rPr>
      </w:pPr>
    </w:p>
    <w:p w14:paraId="1A6D9986" w14:textId="77777777" w:rsidR="00A810E3" w:rsidRPr="00F66096" w:rsidRDefault="00A810E3" w:rsidP="00A810E3">
      <w:pPr>
        <w:jc w:val="both"/>
        <w:rPr>
          <w:rFonts w:ascii="Arial" w:hAnsi="Arial" w:cs="Arial"/>
        </w:rPr>
      </w:pPr>
      <w:r w:rsidRPr="00F66096">
        <w:rPr>
          <w:rFonts w:ascii="Arial" w:hAnsi="Arial" w:cs="Arial"/>
        </w:rPr>
        <w:t>Atentamente,</w:t>
      </w:r>
    </w:p>
    <w:p w14:paraId="79A772A8" w14:textId="77777777" w:rsidR="00A810E3" w:rsidRPr="00F66096" w:rsidRDefault="00A810E3" w:rsidP="00A810E3">
      <w:pPr>
        <w:jc w:val="both"/>
        <w:rPr>
          <w:rFonts w:ascii="Arial" w:hAnsi="Arial" w:cs="Arial"/>
        </w:rPr>
      </w:pPr>
    </w:p>
    <w:p w14:paraId="27E69417" w14:textId="77777777" w:rsidR="00A810E3" w:rsidRPr="00F66096" w:rsidRDefault="00A810E3" w:rsidP="00A810E3">
      <w:pPr>
        <w:jc w:val="both"/>
        <w:rPr>
          <w:rFonts w:ascii="Arial" w:hAnsi="Arial" w:cs="Arial"/>
        </w:rPr>
      </w:pPr>
    </w:p>
    <w:p w14:paraId="53CBEFF9" w14:textId="77777777" w:rsidR="00A810E3" w:rsidRPr="00F66096" w:rsidRDefault="00A810E3" w:rsidP="00A810E3">
      <w:pPr>
        <w:spacing w:after="0"/>
        <w:jc w:val="both"/>
        <w:rPr>
          <w:rFonts w:ascii="Arial" w:hAnsi="Arial" w:cs="Arial"/>
        </w:rPr>
      </w:pPr>
      <w:r w:rsidRPr="00F66096">
        <w:rPr>
          <w:rFonts w:ascii="Arial" w:hAnsi="Arial" w:cs="Arial"/>
        </w:rPr>
        <w:t>……………………………………………….</w:t>
      </w:r>
    </w:p>
    <w:p w14:paraId="5E633704" w14:textId="12413719" w:rsidR="00A810E3" w:rsidRPr="00A810E3" w:rsidRDefault="00A810E3" w:rsidP="00A810E3">
      <w:pPr>
        <w:autoSpaceDE w:val="0"/>
        <w:autoSpaceDN w:val="0"/>
        <w:adjustRightInd w:val="0"/>
        <w:spacing w:after="0" w:line="240" w:lineRule="auto"/>
        <w:jc w:val="both"/>
        <w:rPr>
          <w:rFonts w:ascii="Arial" w:hAnsi="Arial" w:cs="Arial"/>
          <w:bCs/>
        </w:rPr>
      </w:pPr>
      <w:r w:rsidRPr="00A810E3">
        <w:rPr>
          <w:rFonts w:ascii="Arial" w:hAnsi="Arial" w:cs="Arial"/>
          <w:bCs/>
        </w:rPr>
        <w:t>C.C. No.</w:t>
      </w:r>
      <w:r>
        <w:rPr>
          <w:rFonts w:ascii="Arial" w:hAnsi="Arial" w:cs="Arial"/>
          <w:b/>
        </w:rPr>
        <w:t xml:space="preserve"> </w:t>
      </w:r>
      <w:r>
        <w:rPr>
          <w:rFonts w:ascii="Arial" w:hAnsi="Arial" w:cs="Arial"/>
          <w:bCs/>
        </w:rPr>
        <w:t>…………………………………..</w:t>
      </w:r>
    </w:p>
    <w:p w14:paraId="5D3211FF" w14:textId="277A138E" w:rsidR="004D4D46" w:rsidRPr="00A810E3" w:rsidRDefault="00A810E3" w:rsidP="00A810E3">
      <w:pPr>
        <w:autoSpaceDE w:val="0"/>
        <w:autoSpaceDN w:val="0"/>
        <w:adjustRightInd w:val="0"/>
        <w:spacing w:after="0" w:line="240" w:lineRule="auto"/>
        <w:jc w:val="both"/>
        <w:rPr>
          <w:rFonts w:ascii="Arial" w:hAnsi="Arial" w:cs="Arial"/>
          <w:lang w:val="es-MX"/>
        </w:rPr>
      </w:pPr>
      <w:r w:rsidRPr="00351A02">
        <w:rPr>
          <w:rFonts w:ascii="Arial" w:hAnsi="Arial" w:cs="Arial"/>
          <w:b/>
          <w:color w:val="FF0000"/>
        </w:rPr>
        <w:t>Profesor</w:t>
      </w:r>
      <w:r w:rsidR="00351A02" w:rsidRPr="00351A02">
        <w:rPr>
          <w:rFonts w:ascii="Arial" w:hAnsi="Arial" w:cs="Arial"/>
          <w:b/>
          <w:color w:val="FF0000"/>
        </w:rPr>
        <w:t>/a</w:t>
      </w:r>
      <w:r w:rsidRPr="00A810E3">
        <w:rPr>
          <w:rFonts w:ascii="Arial" w:hAnsi="Arial" w:cs="Arial"/>
          <w:b/>
        </w:rPr>
        <w:t xml:space="preserve"> </w:t>
      </w:r>
      <w:r>
        <w:rPr>
          <w:rFonts w:ascii="Arial" w:hAnsi="Arial" w:cs="Arial"/>
          <w:b/>
        </w:rPr>
        <w:t>T</w:t>
      </w:r>
      <w:r w:rsidRPr="00A810E3">
        <w:rPr>
          <w:rFonts w:ascii="Arial" w:hAnsi="Arial" w:cs="Arial"/>
          <w:b/>
        </w:rPr>
        <w:t xml:space="preserve">itular </w:t>
      </w:r>
      <w:r>
        <w:rPr>
          <w:rFonts w:ascii="Arial" w:hAnsi="Arial" w:cs="Arial"/>
          <w:b/>
        </w:rPr>
        <w:t>U</w:t>
      </w:r>
      <w:r w:rsidRPr="00A810E3">
        <w:rPr>
          <w:rFonts w:ascii="Arial" w:hAnsi="Arial" w:cs="Arial"/>
          <w:b/>
        </w:rPr>
        <w:t>leam</w:t>
      </w:r>
    </w:p>
    <w:p w14:paraId="27D18F9C" w14:textId="77777777" w:rsidR="00EC2A33" w:rsidRDefault="00EC2A33" w:rsidP="00793C25">
      <w:pPr>
        <w:autoSpaceDE w:val="0"/>
        <w:autoSpaceDN w:val="0"/>
        <w:adjustRightInd w:val="0"/>
        <w:spacing w:after="0" w:line="240" w:lineRule="auto"/>
        <w:jc w:val="both"/>
        <w:rPr>
          <w:rFonts w:ascii="Arial" w:hAnsi="Arial" w:cs="Arial"/>
          <w:lang w:val="es-MX"/>
        </w:rPr>
      </w:pPr>
    </w:p>
    <w:p w14:paraId="07BEA0FF" w14:textId="77777777" w:rsidR="00390048" w:rsidRDefault="00390048" w:rsidP="00793C25">
      <w:pPr>
        <w:autoSpaceDE w:val="0"/>
        <w:autoSpaceDN w:val="0"/>
        <w:adjustRightInd w:val="0"/>
        <w:spacing w:after="0" w:line="240" w:lineRule="auto"/>
        <w:jc w:val="both"/>
        <w:rPr>
          <w:rFonts w:ascii="Arial" w:hAnsi="Arial" w:cs="Arial"/>
          <w:lang w:val="es-MX"/>
        </w:rPr>
      </w:pPr>
    </w:p>
    <w:p w14:paraId="37330611" w14:textId="77777777" w:rsidR="00390048" w:rsidRPr="00390048" w:rsidRDefault="00390048" w:rsidP="00793C25">
      <w:pPr>
        <w:autoSpaceDE w:val="0"/>
        <w:autoSpaceDN w:val="0"/>
        <w:adjustRightInd w:val="0"/>
        <w:spacing w:after="0" w:line="240" w:lineRule="auto"/>
        <w:jc w:val="both"/>
        <w:rPr>
          <w:rFonts w:ascii="Arial" w:hAnsi="Arial" w:cs="Arial"/>
          <w:b/>
          <w:bCs/>
        </w:rPr>
      </w:pPr>
    </w:p>
    <w:p w14:paraId="596BA22E" w14:textId="694E9FAD" w:rsidR="001B50E3" w:rsidRDefault="001B50E3" w:rsidP="001B50E3">
      <w:pPr>
        <w:spacing w:after="0"/>
        <w:rPr>
          <w:rFonts w:ascii="Arial" w:hAnsi="Arial" w:cs="Arial"/>
          <w:b/>
        </w:rPr>
      </w:pPr>
      <w:r w:rsidRPr="004663A1">
        <w:rPr>
          <w:rFonts w:ascii="Arial" w:hAnsi="Arial" w:cs="Arial"/>
          <w:b/>
        </w:rPr>
        <w:t xml:space="preserve">DOCUMENTOS DE SOPORTE </w:t>
      </w:r>
    </w:p>
    <w:p w14:paraId="11399B7A" w14:textId="77777777" w:rsidR="001B50E3" w:rsidRPr="004663A1" w:rsidRDefault="001B50E3" w:rsidP="001B50E3">
      <w:pPr>
        <w:spacing w:after="0"/>
        <w:rPr>
          <w:rFonts w:ascii="Arial" w:hAnsi="Arial" w:cs="Arial"/>
          <w:b/>
        </w:rPr>
      </w:pPr>
    </w:p>
    <w:tbl>
      <w:tblPr>
        <w:tblStyle w:val="Tablaconcuadrcula"/>
        <w:tblW w:w="0" w:type="auto"/>
        <w:tblLook w:val="04A0" w:firstRow="1" w:lastRow="0" w:firstColumn="1" w:lastColumn="0" w:noHBand="0" w:noVBand="1"/>
      </w:tblPr>
      <w:tblGrid>
        <w:gridCol w:w="2190"/>
        <w:gridCol w:w="2239"/>
      </w:tblGrid>
      <w:tr w:rsidR="008126BB" w14:paraId="03CFC41E" w14:textId="77777777" w:rsidTr="008126BB">
        <w:tc>
          <w:tcPr>
            <w:tcW w:w="2190" w:type="dxa"/>
          </w:tcPr>
          <w:p w14:paraId="04529644" w14:textId="67DAA8E6" w:rsidR="008126BB" w:rsidRDefault="008126BB" w:rsidP="001B50E3">
            <w:pPr>
              <w:jc w:val="both"/>
              <w:rPr>
                <w:rFonts w:ascii="Arial" w:hAnsi="Arial" w:cs="Arial"/>
              </w:rPr>
            </w:pPr>
            <w:r w:rsidRPr="001B50E3">
              <w:rPr>
                <w:rFonts w:ascii="Arial" w:hAnsi="Arial" w:cs="Arial"/>
                <w:b/>
                <w:bCs/>
              </w:rPr>
              <w:t>Docentes auxiliares</w:t>
            </w:r>
            <w:r>
              <w:rPr>
                <w:rFonts w:ascii="Arial" w:hAnsi="Arial" w:cs="Arial"/>
                <w:b/>
                <w:bCs/>
              </w:rPr>
              <w:t>,</w:t>
            </w:r>
            <w:r w:rsidRPr="001B50E3">
              <w:rPr>
                <w:rFonts w:ascii="Arial" w:hAnsi="Arial" w:cs="Arial"/>
                <w:b/>
                <w:bCs/>
              </w:rPr>
              <w:t xml:space="preserve"> agregados</w:t>
            </w:r>
            <w:r>
              <w:rPr>
                <w:rFonts w:ascii="Arial" w:hAnsi="Arial" w:cs="Arial"/>
                <w:b/>
                <w:bCs/>
              </w:rPr>
              <w:t xml:space="preserve"> y coordinadores</w:t>
            </w:r>
          </w:p>
        </w:tc>
        <w:tc>
          <w:tcPr>
            <w:tcW w:w="2239" w:type="dxa"/>
          </w:tcPr>
          <w:p w14:paraId="201FECE5" w14:textId="77777777" w:rsidR="008126BB" w:rsidRPr="001B50E3" w:rsidRDefault="008126BB" w:rsidP="002E3427">
            <w:pPr>
              <w:jc w:val="both"/>
              <w:rPr>
                <w:rFonts w:ascii="Arial" w:hAnsi="Arial" w:cs="Arial"/>
                <w:b/>
                <w:bCs/>
              </w:rPr>
            </w:pPr>
            <w:bookmarkStart w:id="0" w:name="_GoBack"/>
            <w:bookmarkEnd w:id="0"/>
            <w:r w:rsidRPr="001B50E3">
              <w:rPr>
                <w:rFonts w:ascii="Arial" w:hAnsi="Arial" w:cs="Arial"/>
                <w:b/>
                <w:bCs/>
              </w:rPr>
              <w:t>Dependencia que lo otorga</w:t>
            </w:r>
          </w:p>
        </w:tc>
      </w:tr>
      <w:tr w:rsidR="008126BB" w14:paraId="57C8ED02" w14:textId="77777777" w:rsidTr="008126BB">
        <w:tc>
          <w:tcPr>
            <w:tcW w:w="2190" w:type="dxa"/>
          </w:tcPr>
          <w:p w14:paraId="1C6D191C" w14:textId="77777777" w:rsidR="008126BB" w:rsidRDefault="008126BB" w:rsidP="002E3427">
            <w:pPr>
              <w:jc w:val="both"/>
              <w:rPr>
                <w:rFonts w:ascii="Arial" w:hAnsi="Arial" w:cs="Arial"/>
              </w:rPr>
            </w:pPr>
            <w:r>
              <w:rPr>
                <w:rFonts w:ascii="Arial" w:hAnsi="Arial" w:cs="Arial"/>
                <w:sz w:val="16"/>
                <w:szCs w:val="16"/>
              </w:rPr>
              <w:t>Registro de títulos de Senescyt</w:t>
            </w:r>
          </w:p>
        </w:tc>
        <w:tc>
          <w:tcPr>
            <w:tcW w:w="2239" w:type="dxa"/>
          </w:tcPr>
          <w:p w14:paraId="773C1A46" w14:textId="77777777" w:rsidR="008126BB" w:rsidRPr="00652FAE" w:rsidRDefault="008126BB" w:rsidP="002E3427">
            <w:pPr>
              <w:jc w:val="both"/>
              <w:rPr>
                <w:rFonts w:ascii="Arial" w:hAnsi="Arial" w:cs="Arial"/>
                <w:sz w:val="16"/>
                <w:szCs w:val="16"/>
              </w:rPr>
            </w:pPr>
            <w:r>
              <w:rPr>
                <w:rFonts w:ascii="Arial" w:hAnsi="Arial" w:cs="Arial"/>
                <w:sz w:val="16"/>
                <w:szCs w:val="16"/>
              </w:rPr>
              <w:t>Página de la Senescyt, docente</w:t>
            </w:r>
          </w:p>
        </w:tc>
      </w:tr>
      <w:tr w:rsidR="008126BB" w14:paraId="4E808020" w14:textId="77777777" w:rsidTr="008126BB">
        <w:tc>
          <w:tcPr>
            <w:tcW w:w="2190" w:type="dxa"/>
          </w:tcPr>
          <w:p w14:paraId="7BC0D2E5" w14:textId="4B3D0C4A" w:rsidR="008126BB" w:rsidRPr="008126BB" w:rsidRDefault="008126BB" w:rsidP="002E3427">
            <w:pPr>
              <w:jc w:val="both"/>
              <w:rPr>
                <w:rFonts w:ascii="Arial" w:hAnsi="Arial" w:cs="Arial"/>
                <w:sz w:val="16"/>
                <w:szCs w:val="16"/>
              </w:rPr>
            </w:pPr>
            <w:r>
              <w:rPr>
                <w:rFonts w:ascii="Arial" w:hAnsi="Arial" w:cs="Arial"/>
                <w:sz w:val="16"/>
                <w:szCs w:val="16"/>
              </w:rPr>
              <w:t>Acción de personal</w:t>
            </w:r>
          </w:p>
        </w:tc>
        <w:tc>
          <w:tcPr>
            <w:tcW w:w="2239" w:type="dxa"/>
          </w:tcPr>
          <w:p w14:paraId="310CAE1E" w14:textId="77777777" w:rsidR="008126BB" w:rsidRPr="001E52D2" w:rsidRDefault="008126BB" w:rsidP="002E3427">
            <w:pPr>
              <w:jc w:val="both"/>
              <w:rPr>
                <w:rFonts w:ascii="Arial" w:hAnsi="Arial" w:cs="Arial"/>
                <w:sz w:val="16"/>
                <w:szCs w:val="16"/>
              </w:rPr>
            </w:pPr>
            <w:r w:rsidRPr="001E52D2">
              <w:rPr>
                <w:rFonts w:ascii="Arial" w:hAnsi="Arial" w:cs="Arial"/>
                <w:sz w:val="16"/>
                <w:szCs w:val="16"/>
              </w:rPr>
              <w:t>Certificado por Talento Humano ULEAM</w:t>
            </w:r>
          </w:p>
        </w:tc>
      </w:tr>
      <w:tr w:rsidR="008126BB" w14:paraId="4EC3EF39" w14:textId="77777777" w:rsidTr="008126BB">
        <w:tc>
          <w:tcPr>
            <w:tcW w:w="2190" w:type="dxa"/>
          </w:tcPr>
          <w:p w14:paraId="12867F98" w14:textId="77777777" w:rsidR="008126BB" w:rsidRDefault="008126BB" w:rsidP="002E3427">
            <w:pPr>
              <w:jc w:val="both"/>
              <w:rPr>
                <w:rFonts w:ascii="Arial" w:hAnsi="Arial" w:cs="Arial"/>
              </w:rPr>
            </w:pPr>
            <w:r>
              <w:rPr>
                <w:rFonts w:ascii="Arial" w:hAnsi="Arial" w:cs="Arial"/>
                <w:sz w:val="16"/>
                <w:szCs w:val="16"/>
              </w:rPr>
              <w:t>Oficio de la Comisión de Escalafón de fecha 16 de diciembre del 2013, donde se comunica el nuevo escalafón.</w:t>
            </w:r>
          </w:p>
        </w:tc>
        <w:tc>
          <w:tcPr>
            <w:tcW w:w="2239" w:type="dxa"/>
          </w:tcPr>
          <w:p w14:paraId="5252D50B" w14:textId="77777777" w:rsidR="008126BB" w:rsidRPr="00B32D9E" w:rsidRDefault="008126BB" w:rsidP="002E3427">
            <w:pPr>
              <w:jc w:val="both"/>
              <w:rPr>
                <w:rFonts w:ascii="Arial" w:hAnsi="Arial" w:cs="Arial"/>
                <w:sz w:val="16"/>
                <w:szCs w:val="16"/>
              </w:rPr>
            </w:pPr>
            <w:r>
              <w:rPr>
                <w:rFonts w:ascii="Arial" w:hAnsi="Arial" w:cs="Arial"/>
                <w:sz w:val="16"/>
                <w:szCs w:val="16"/>
              </w:rPr>
              <w:t>Comisión de Escalafón Docente de la ULEAM</w:t>
            </w:r>
          </w:p>
        </w:tc>
      </w:tr>
      <w:tr w:rsidR="008126BB" w14:paraId="2A5FFACD" w14:textId="77777777" w:rsidTr="008126BB">
        <w:tc>
          <w:tcPr>
            <w:tcW w:w="2190" w:type="dxa"/>
          </w:tcPr>
          <w:p w14:paraId="6D177DE7" w14:textId="77777777" w:rsidR="008126BB" w:rsidRDefault="008126BB" w:rsidP="002E3427">
            <w:pPr>
              <w:jc w:val="both"/>
              <w:rPr>
                <w:rFonts w:ascii="Arial" w:hAnsi="Arial" w:cs="Arial"/>
                <w:sz w:val="16"/>
                <w:szCs w:val="16"/>
              </w:rPr>
            </w:pPr>
            <w:r>
              <w:rPr>
                <w:rFonts w:ascii="Arial" w:hAnsi="Arial" w:cs="Arial"/>
                <w:sz w:val="16"/>
                <w:szCs w:val="16"/>
              </w:rPr>
              <w:t>Resolución No 149-2013-HCU del 4 de diciembre del 2013</w:t>
            </w:r>
          </w:p>
          <w:p w14:paraId="3945F6B6" w14:textId="77777777" w:rsidR="008126BB" w:rsidRDefault="008126BB" w:rsidP="002E3427">
            <w:pPr>
              <w:jc w:val="both"/>
              <w:rPr>
                <w:rFonts w:ascii="Arial" w:hAnsi="Arial" w:cs="Arial"/>
              </w:rPr>
            </w:pPr>
          </w:p>
        </w:tc>
        <w:tc>
          <w:tcPr>
            <w:tcW w:w="2239" w:type="dxa"/>
          </w:tcPr>
          <w:p w14:paraId="15F67129" w14:textId="77777777" w:rsidR="008126BB" w:rsidRPr="00A25639" w:rsidRDefault="008126BB" w:rsidP="002E3427">
            <w:pPr>
              <w:jc w:val="both"/>
              <w:rPr>
                <w:rFonts w:ascii="Arial" w:hAnsi="Arial" w:cs="Arial"/>
                <w:sz w:val="16"/>
                <w:szCs w:val="16"/>
              </w:rPr>
            </w:pPr>
            <w:r>
              <w:rPr>
                <w:rFonts w:ascii="Arial" w:hAnsi="Arial" w:cs="Arial"/>
                <w:sz w:val="16"/>
                <w:szCs w:val="16"/>
              </w:rPr>
              <w:t>Secretaría General</w:t>
            </w:r>
          </w:p>
        </w:tc>
      </w:tr>
      <w:tr w:rsidR="008126BB" w14:paraId="6C65D132" w14:textId="77777777" w:rsidTr="008126BB">
        <w:tc>
          <w:tcPr>
            <w:tcW w:w="2190" w:type="dxa"/>
          </w:tcPr>
          <w:p w14:paraId="17021432" w14:textId="77777777" w:rsidR="008126BB" w:rsidRDefault="008126BB" w:rsidP="002E3427">
            <w:pPr>
              <w:jc w:val="both"/>
              <w:rPr>
                <w:rFonts w:ascii="Arial" w:hAnsi="Arial" w:cs="Arial"/>
              </w:rPr>
            </w:pPr>
            <w:r>
              <w:rPr>
                <w:rFonts w:ascii="Arial" w:hAnsi="Arial" w:cs="Arial"/>
                <w:sz w:val="16"/>
                <w:szCs w:val="16"/>
              </w:rPr>
              <w:t>Resolución No 150-2013-HCU del 10 de diciembre del 2013.</w:t>
            </w:r>
          </w:p>
        </w:tc>
        <w:tc>
          <w:tcPr>
            <w:tcW w:w="2239" w:type="dxa"/>
          </w:tcPr>
          <w:p w14:paraId="78F865C9" w14:textId="77777777" w:rsidR="008126BB" w:rsidRDefault="008126BB" w:rsidP="002E3427">
            <w:pPr>
              <w:jc w:val="both"/>
              <w:rPr>
                <w:rFonts w:ascii="Arial" w:hAnsi="Arial" w:cs="Arial"/>
              </w:rPr>
            </w:pPr>
            <w:r>
              <w:rPr>
                <w:rFonts w:ascii="Arial" w:hAnsi="Arial" w:cs="Arial"/>
                <w:sz w:val="16"/>
                <w:szCs w:val="16"/>
              </w:rPr>
              <w:t>Secretaría General</w:t>
            </w:r>
          </w:p>
        </w:tc>
      </w:tr>
      <w:tr w:rsidR="008126BB" w14:paraId="2CC34BD6" w14:textId="77777777" w:rsidTr="008126BB">
        <w:tc>
          <w:tcPr>
            <w:tcW w:w="2190" w:type="dxa"/>
          </w:tcPr>
          <w:p w14:paraId="2D997F48" w14:textId="77777777" w:rsidR="008126BB" w:rsidRDefault="008126BB" w:rsidP="002E3427">
            <w:pPr>
              <w:jc w:val="both"/>
              <w:rPr>
                <w:rFonts w:ascii="Arial" w:hAnsi="Arial" w:cs="Arial"/>
              </w:rPr>
            </w:pPr>
            <w:r w:rsidRPr="001E52D2">
              <w:rPr>
                <w:rFonts w:ascii="Arial" w:hAnsi="Arial" w:cs="Arial"/>
                <w:sz w:val="16"/>
                <w:szCs w:val="16"/>
              </w:rPr>
              <w:t>Memorándum de rectorado No 110 del 29 de octubre del 2014</w:t>
            </w:r>
          </w:p>
        </w:tc>
        <w:tc>
          <w:tcPr>
            <w:tcW w:w="2239" w:type="dxa"/>
          </w:tcPr>
          <w:p w14:paraId="564B95EB" w14:textId="77777777" w:rsidR="008126BB" w:rsidRDefault="008126BB" w:rsidP="002E3427">
            <w:pPr>
              <w:jc w:val="both"/>
              <w:rPr>
                <w:rFonts w:ascii="Arial" w:hAnsi="Arial" w:cs="Arial"/>
              </w:rPr>
            </w:pPr>
            <w:r>
              <w:rPr>
                <w:rFonts w:ascii="Arial" w:hAnsi="Arial" w:cs="Arial"/>
                <w:sz w:val="16"/>
                <w:szCs w:val="16"/>
              </w:rPr>
              <w:t>Secretaría General</w:t>
            </w:r>
          </w:p>
        </w:tc>
      </w:tr>
      <w:tr w:rsidR="008126BB" w14:paraId="36483ABE" w14:textId="77777777" w:rsidTr="008126BB">
        <w:tc>
          <w:tcPr>
            <w:tcW w:w="2190" w:type="dxa"/>
          </w:tcPr>
          <w:p w14:paraId="6D844DE0" w14:textId="77777777" w:rsidR="008126BB" w:rsidRDefault="008126BB" w:rsidP="002E3427">
            <w:pPr>
              <w:jc w:val="both"/>
              <w:rPr>
                <w:rFonts w:ascii="Arial" w:hAnsi="Arial" w:cs="Arial"/>
              </w:rPr>
            </w:pPr>
            <w:r>
              <w:rPr>
                <w:rFonts w:ascii="Arial" w:hAnsi="Arial" w:cs="Arial"/>
                <w:sz w:val="16"/>
                <w:szCs w:val="16"/>
              </w:rPr>
              <w:t>Resolución  154-2014-HCU-SG-CSC</w:t>
            </w:r>
          </w:p>
        </w:tc>
        <w:tc>
          <w:tcPr>
            <w:tcW w:w="2239" w:type="dxa"/>
          </w:tcPr>
          <w:p w14:paraId="0183BF22" w14:textId="77777777" w:rsidR="008126BB" w:rsidRDefault="008126BB" w:rsidP="002E3427">
            <w:pPr>
              <w:jc w:val="both"/>
              <w:rPr>
                <w:rFonts w:ascii="Arial" w:hAnsi="Arial" w:cs="Arial"/>
              </w:rPr>
            </w:pPr>
            <w:r>
              <w:rPr>
                <w:rFonts w:ascii="Arial" w:hAnsi="Arial" w:cs="Arial"/>
                <w:sz w:val="16"/>
                <w:szCs w:val="16"/>
              </w:rPr>
              <w:t>Secretaría General</w:t>
            </w:r>
          </w:p>
        </w:tc>
      </w:tr>
      <w:tr w:rsidR="008126BB" w14:paraId="38CA7C6B" w14:textId="77777777" w:rsidTr="008126BB">
        <w:tc>
          <w:tcPr>
            <w:tcW w:w="2190" w:type="dxa"/>
          </w:tcPr>
          <w:p w14:paraId="50FBA568" w14:textId="77777777" w:rsidR="008126BB" w:rsidRDefault="008126BB" w:rsidP="002E3427">
            <w:pPr>
              <w:jc w:val="both"/>
              <w:rPr>
                <w:rFonts w:ascii="Arial" w:hAnsi="Arial" w:cs="Arial"/>
              </w:rPr>
            </w:pPr>
            <w:r w:rsidRPr="001E52D2">
              <w:rPr>
                <w:rFonts w:ascii="Arial" w:hAnsi="Arial" w:cs="Arial"/>
                <w:sz w:val="16"/>
                <w:szCs w:val="16"/>
              </w:rPr>
              <w:t xml:space="preserve">Memorándum de </w:t>
            </w:r>
            <w:r>
              <w:rPr>
                <w:rFonts w:ascii="Arial" w:hAnsi="Arial" w:cs="Arial"/>
                <w:sz w:val="16"/>
                <w:szCs w:val="16"/>
              </w:rPr>
              <w:t>rectorado No 123 del 20 de noviembre</w:t>
            </w:r>
            <w:r w:rsidRPr="001E52D2">
              <w:rPr>
                <w:rFonts w:ascii="Arial" w:hAnsi="Arial" w:cs="Arial"/>
                <w:sz w:val="16"/>
                <w:szCs w:val="16"/>
              </w:rPr>
              <w:t xml:space="preserve"> del 2014</w:t>
            </w:r>
            <w:r>
              <w:rPr>
                <w:rFonts w:ascii="Arial" w:hAnsi="Arial" w:cs="Arial"/>
                <w:sz w:val="16"/>
                <w:szCs w:val="16"/>
              </w:rPr>
              <w:t>.</w:t>
            </w:r>
          </w:p>
        </w:tc>
        <w:tc>
          <w:tcPr>
            <w:tcW w:w="2239" w:type="dxa"/>
          </w:tcPr>
          <w:p w14:paraId="2694E2B8" w14:textId="77777777" w:rsidR="008126BB" w:rsidRDefault="008126BB" w:rsidP="002E3427">
            <w:pPr>
              <w:jc w:val="both"/>
              <w:rPr>
                <w:rFonts w:ascii="Arial" w:hAnsi="Arial" w:cs="Arial"/>
              </w:rPr>
            </w:pPr>
            <w:r>
              <w:rPr>
                <w:rFonts w:ascii="Arial" w:hAnsi="Arial" w:cs="Arial"/>
                <w:sz w:val="16"/>
                <w:szCs w:val="16"/>
              </w:rPr>
              <w:t>Secretaría General</w:t>
            </w:r>
          </w:p>
        </w:tc>
      </w:tr>
      <w:tr w:rsidR="008126BB" w14:paraId="66FB5AD5" w14:textId="77777777" w:rsidTr="008126BB">
        <w:tc>
          <w:tcPr>
            <w:tcW w:w="2190" w:type="dxa"/>
          </w:tcPr>
          <w:p w14:paraId="5629D441" w14:textId="77777777" w:rsidR="008126BB" w:rsidRDefault="008126BB" w:rsidP="002E3427">
            <w:pPr>
              <w:jc w:val="both"/>
              <w:rPr>
                <w:rFonts w:ascii="Arial" w:hAnsi="Arial" w:cs="Arial"/>
              </w:rPr>
            </w:pPr>
            <w:r>
              <w:rPr>
                <w:rFonts w:ascii="Arial" w:hAnsi="Arial" w:cs="Arial"/>
                <w:sz w:val="16"/>
                <w:szCs w:val="16"/>
              </w:rPr>
              <w:t>Resolución No 171-2014-HCU-SG-CSC del 31 de diciembre del 2014</w:t>
            </w:r>
          </w:p>
        </w:tc>
        <w:tc>
          <w:tcPr>
            <w:tcW w:w="2239" w:type="dxa"/>
          </w:tcPr>
          <w:p w14:paraId="03296B05" w14:textId="77777777" w:rsidR="008126BB" w:rsidRDefault="008126BB" w:rsidP="002E3427">
            <w:pPr>
              <w:jc w:val="both"/>
              <w:rPr>
                <w:rFonts w:ascii="Arial" w:hAnsi="Arial" w:cs="Arial"/>
              </w:rPr>
            </w:pPr>
            <w:r>
              <w:rPr>
                <w:rFonts w:ascii="Arial" w:hAnsi="Arial" w:cs="Arial"/>
                <w:sz w:val="16"/>
                <w:szCs w:val="16"/>
              </w:rPr>
              <w:t>Secretaría General</w:t>
            </w:r>
          </w:p>
        </w:tc>
      </w:tr>
      <w:tr w:rsidR="008126BB" w14:paraId="707E3205" w14:textId="77777777" w:rsidTr="008126BB">
        <w:tc>
          <w:tcPr>
            <w:tcW w:w="2190" w:type="dxa"/>
          </w:tcPr>
          <w:p w14:paraId="3539C74D" w14:textId="77777777" w:rsidR="008126BB" w:rsidRPr="00542A4E" w:rsidRDefault="008126BB" w:rsidP="002E3427">
            <w:pPr>
              <w:jc w:val="both"/>
              <w:rPr>
                <w:rFonts w:ascii="Arial" w:hAnsi="Arial" w:cs="Arial"/>
                <w:sz w:val="16"/>
                <w:szCs w:val="16"/>
              </w:rPr>
            </w:pPr>
            <w:r>
              <w:rPr>
                <w:rFonts w:ascii="Arial" w:hAnsi="Arial" w:cs="Arial"/>
                <w:sz w:val="16"/>
                <w:szCs w:val="16"/>
              </w:rPr>
              <w:t>Resolución administrativa (rectorado) No 023-2014</w:t>
            </w:r>
          </w:p>
        </w:tc>
        <w:tc>
          <w:tcPr>
            <w:tcW w:w="2239" w:type="dxa"/>
          </w:tcPr>
          <w:p w14:paraId="7A8F8F6D" w14:textId="77777777" w:rsidR="008126BB" w:rsidRDefault="008126BB" w:rsidP="002E3427">
            <w:pPr>
              <w:jc w:val="both"/>
              <w:rPr>
                <w:rFonts w:ascii="Arial" w:hAnsi="Arial" w:cs="Arial"/>
              </w:rPr>
            </w:pPr>
            <w:r>
              <w:rPr>
                <w:rFonts w:ascii="Arial" w:hAnsi="Arial" w:cs="Arial"/>
                <w:sz w:val="16"/>
                <w:szCs w:val="16"/>
              </w:rPr>
              <w:t>Secretaría de rectorado</w:t>
            </w:r>
          </w:p>
        </w:tc>
      </w:tr>
      <w:tr w:rsidR="008126BB" w14:paraId="588F9ACD" w14:textId="77777777" w:rsidTr="008126BB">
        <w:tc>
          <w:tcPr>
            <w:tcW w:w="2190" w:type="dxa"/>
          </w:tcPr>
          <w:p w14:paraId="43133004" w14:textId="77777777" w:rsidR="008126BB" w:rsidRDefault="008126BB" w:rsidP="002E3427">
            <w:pPr>
              <w:jc w:val="both"/>
              <w:rPr>
                <w:rFonts w:ascii="Arial" w:hAnsi="Arial" w:cs="Arial"/>
              </w:rPr>
            </w:pPr>
          </w:p>
        </w:tc>
        <w:tc>
          <w:tcPr>
            <w:tcW w:w="2239" w:type="dxa"/>
          </w:tcPr>
          <w:p w14:paraId="116B32FC" w14:textId="77777777" w:rsidR="008126BB" w:rsidRDefault="008126BB" w:rsidP="002E3427">
            <w:pPr>
              <w:jc w:val="both"/>
              <w:rPr>
                <w:rFonts w:ascii="Arial" w:hAnsi="Arial" w:cs="Arial"/>
              </w:rPr>
            </w:pPr>
            <w:r>
              <w:rPr>
                <w:rFonts w:ascii="Arial" w:hAnsi="Arial" w:cs="Arial"/>
                <w:sz w:val="16"/>
                <w:szCs w:val="16"/>
              </w:rPr>
              <w:t>Secretaría General</w:t>
            </w:r>
          </w:p>
        </w:tc>
      </w:tr>
      <w:tr w:rsidR="008126BB" w14:paraId="5380BE53" w14:textId="77777777" w:rsidTr="008126BB">
        <w:tc>
          <w:tcPr>
            <w:tcW w:w="2190" w:type="dxa"/>
          </w:tcPr>
          <w:p w14:paraId="692113A8" w14:textId="77777777" w:rsidR="008126BB" w:rsidRDefault="008126BB" w:rsidP="002E3427">
            <w:pPr>
              <w:jc w:val="both"/>
              <w:rPr>
                <w:rFonts w:ascii="Arial" w:hAnsi="Arial" w:cs="Arial"/>
              </w:rPr>
            </w:pPr>
          </w:p>
        </w:tc>
        <w:tc>
          <w:tcPr>
            <w:tcW w:w="2239" w:type="dxa"/>
          </w:tcPr>
          <w:p w14:paraId="44FA5AF8" w14:textId="77777777" w:rsidR="008126BB" w:rsidRDefault="008126BB" w:rsidP="002E3427">
            <w:pPr>
              <w:jc w:val="both"/>
              <w:rPr>
                <w:rFonts w:ascii="Arial" w:hAnsi="Arial" w:cs="Arial"/>
              </w:rPr>
            </w:pPr>
            <w:r>
              <w:rPr>
                <w:rFonts w:ascii="Arial" w:hAnsi="Arial" w:cs="Arial"/>
                <w:sz w:val="16"/>
                <w:szCs w:val="16"/>
              </w:rPr>
              <w:t>Secretaría General</w:t>
            </w:r>
          </w:p>
        </w:tc>
      </w:tr>
      <w:tr w:rsidR="008126BB" w14:paraId="246C3112" w14:textId="77777777" w:rsidTr="008126BB">
        <w:tc>
          <w:tcPr>
            <w:tcW w:w="2190" w:type="dxa"/>
          </w:tcPr>
          <w:p w14:paraId="38327847" w14:textId="48145D8D" w:rsidR="008126BB" w:rsidRPr="007E5379" w:rsidRDefault="008126BB" w:rsidP="002E3427">
            <w:pPr>
              <w:jc w:val="both"/>
              <w:rPr>
                <w:rFonts w:ascii="Arial" w:hAnsi="Arial" w:cs="Arial"/>
                <w:sz w:val="16"/>
                <w:szCs w:val="16"/>
              </w:rPr>
            </w:pPr>
            <w:r>
              <w:rPr>
                <w:rFonts w:ascii="Arial" w:hAnsi="Arial" w:cs="Arial"/>
                <w:sz w:val="16"/>
                <w:szCs w:val="16"/>
              </w:rPr>
              <w:t>Certificación de funciones y roles cumplidos en las carreras y/o Departamentos correspondientes</w:t>
            </w:r>
          </w:p>
        </w:tc>
        <w:tc>
          <w:tcPr>
            <w:tcW w:w="2239" w:type="dxa"/>
          </w:tcPr>
          <w:p w14:paraId="55D1A968" w14:textId="77777777" w:rsidR="008126BB" w:rsidRDefault="008126BB" w:rsidP="002E3427">
            <w:pPr>
              <w:jc w:val="both"/>
              <w:rPr>
                <w:rFonts w:ascii="Arial" w:hAnsi="Arial" w:cs="Arial"/>
                <w:sz w:val="16"/>
                <w:szCs w:val="16"/>
              </w:rPr>
            </w:pPr>
            <w:r>
              <w:rPr>
                <w:rFonts w:ascii="Arial" w:hAnsi="Arial" w:cs="Arial"/>
                <w:sz w:val="16"/>
                <w:szCs w:val="16"/>
              </w:rPr>
              <w:t>Decanos/as</w:t>
            </w:r>
          </w:p>
          <w:p w14:paraId="5803CA13" w14:textId="214D4CCF" w:rsidR="008126BB" w:rsidRDefault="008126BB" w:rsidP="002E3427">
            <w:pPr>
              <w:jc w:val="both"/>
              <w:rPr>
                <w:rFonts w:ascii="Arial" w:hAnsi="Arial" w:cs="Arial"/>
                <w:sz w:val="16"/>
                <w:szCs w:val="16"/>
              </w:rPr>
            </w:pPr>
            <w:r>
              <w:rPr>
                <w:rFonts w:ascii="Arial" w:hAnsi="Arial" w:cs="Arial"/>
                <w:sz w:val="16"/>
                <w:szCs w:val="16"/>
              </w:rPr>
              <w:t>Directores/as Departamentales</w:t>
            </w:r>
          </w:p>
        </w:tc>
      </w:tr>
    </w:tbl>
    <w:p w14:paraId="0D125504" w14:textId="77777777" w:rsidR="001B50E3" w:rsidRDefault="001B50E3" w:rsidP="001B50E3">
      <w:pPr>
        <w:spacing w:after="0"/>
        <w:jc w:val="both"/>
        <w:rPr>
          <w:rFonts w:ascii="Arial" w:hAnsi="Arial" w:cs="Arial"/>
        </w:rPr>
      </w:pPr>
    </w:p>
    <w:p w14:paraId="13542C49" w14:textId="77777777" w:rsidR="001B50E3" w:rsidRDefault="001B50E3" w:rsidP="001B50E3">
      <w:pPr>
        <w:spacing w:after="0"/>
        <w:jc w:val="both"/>
        <w:rPr>
          <w:rFonts w:ascii="Arial" w:hAnsi="Arial" w:cs="Arial"/>
        </w:rPr>
      </w:pPr>
    </w:p>
    <w:p w14:paraId="1F3397FB" w14:textId="77777777" w:rsidR="001B50E3" w:rsidRDefault="001B50E3" w:rsidP="001B50E3">
      <w:pPr>
        <w:spacing w:after="0"/>
        <w:jc w:val="both"/>
        <w:rPr>
          <w:rFonts w:ascii="Arial" w:hAnsi="Arial" w:cs="Arial"/>
        </w:rPr>
      </w:pPr>
    </w:p>
    <w:p w14:paraId="215F206C" w14:textId="77777777" w:rsidR="001B50E3" w:rsidRPr="00F87CA6" w:rsidRDefault="001B50E3" w:rsidP="00F87CA6">
      <w:pPr>
        <w:spacing w:after="0"/>
        <w:jc w:val="both"/>
        <w:rPr>
          <w:rFonts w:ascii="Arial" w:hAnsi="Arial" w:cs="Arial"/>
        </w:rPr>
      </w:pPr>
    </w:p>
    <w:sectPr w:rsidR="001B50E3" w:rsidRPr="00F87CA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7DF8B" w14:textId="77777777" w:rsidR="00100B0A" w:rsidRDefault="00100B0A" w:rsidP="00DC689D">
      <w:pPr>
        <w:spacing w:after="0" w:line="240" w:lineRule="auto"/>
      </w:pPr>
      <w:r>
        <w:separator/>
      </w:r>
    </w:p>
  </w:endnote>
  <w:endnote w:type="continuationSeparator" w:id="0">
    <w:p w14:paraId="0895126A" w14:textId="77777777" w:rsidR="00100B0A" w:rsidRDefault="00100B0A" w:rsidP="00DC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AD637" w14:textId="77777777" w:rsidR="00100B0A" w:rsidRDefault="00100B0A" w:rsidP="00DC689D">
      <w:pPr>
        <w:spacing w:after="0" w:line="240" w:lineRule="auto"/>
      </w:pPr>
      <w:r>
        <w:separator/>
      </w:r>
    </w:p>
  </w:footnote>
  <w:footnote w:type="continuationSeparator" w:id="0">
    <w:p w14:paraId="46182537" w14:textId="77777777" w:rsidR="00100B0A" w:rsidRDefault="00100B0A" w:rsidP="00DC689D">
      <w:pPr>
        <w:spacing w:after="0" w:line="240" w:lineRule="auto"/>
      </w:pPr>
      <w:r>
        <w:continuationSeparator/>
      </w:r>
    </w:p>
  </w:footnote>
  <w:footnote w:id="1">
    <w:p w14:paraId="074603B6" w14:textId="77777777" w:rsidR="00DC689D" w:rsidRPr="00DC689D" w:rsidRDefault="00DC689D">
      <w:pPr>
        <w:pStyle w:val="Textonotapie"/>
        <w:rPr>
          <w:lang w:val="es-MX"/>
        </w:rPr>
      </w:pPr>
      <w:r w:rsidRPr="007F41FF">
        <w:rPr>
          <w:rStyle w:val="Refdenotaalpie"/>
          <w:b/>
          <w:bCs/>
        </w:rPr>
        <w:footnoteRef/>
      </w:r>
      <w:r>
        <w:t xml:space="preserve"> </w:t>
      </w:r>
      <w:r>
        <w:rPr>
          <w:lang w:val="es-MX"/>
        </w:rPr>
        <w:t>Plan Nacional del Buen Vivir 2013 – 2017, p.p.333</w:t>
      </w:r>
    </w:p>
  </w:footnote>
  <w:footnote w:id="2">
    <w:p w14:paraId="24090462" w14:textId="77777777" w:rsidR="007F41FF" w:rsidRPr="007F41FF" w:rsidRDefault="007F41FF">
      <w:pPr>
        <w:pStyle w:val="Textonotapie"/>
        <w:rPr>
          <w:lang w:val="es-MX"/>
        </w:rPr>
      </w:pPr>
      <w:r w:rsidRPr="007F41FF">
        <w:rPr>
          <w:rStyle w:val="Refdenotaalpie"/>
          <w:b/>
          <w:bCs/>
        </w:rPr>
        <w:footnoteRef/>
      </w:r>
      <w:r>
        <w:t xml:space="preserve"> IES: </w:t>
      </w:r>
      <w:r>
        <w:rPr>
          <w:lang w:val="es-MX"/>
        </w:rPr>
        <w:t>Institución de Educación Superior</w:t>
      </w:r>
    </w:p>
  </w:footnote>
  <w:footnote w:id="3">
    <w:p w14:paraId="59514E23" w14:textId="77777777" w:rsidR="00EC2A33" w:rsidRPr="001346B9" w:rsidRDefault="00EC2A33" w:rsidP="00EC2A33">
      <w:pPr>
        <w:pStyle w:val="Textonotapie"/>
        <w:rPr>
          <w:lang w:val="es-MX"/>
        </w:rPr>
      </w:pPr>
      <w:r w:rsidRPr="001346B9">
        <w:rPr>
          <w:rStyle w:val="Refdenotaalpie"/>
          <w:b/>
          <w:bCs/>
        </w:rPr>
        <w:footnoteRef/>
      </w:r>
      <w:r>
        <w:t xml:space="preserve"> </w:t>
      </w:r>
      <w:r>
        <w:rPr>
          <w:lang w:val="es-MX"/>
        </w:rPr>
        <w:t>Plan de Fortalecimiento Institucional de la Uleam, p.p.26</w:t>
      </w:r>
    </w:p>
  </w:footnote>
  <w:footnote w:id="4">
    <w:p w14:paraId="1F2F8363" w14:textId="77777777" w:rsidR="00EC2A33" w:rsidRPr="00060CB6" w:rsidRDefault="00EC2A33" w:rsidP="00EC2A33">
      <w:pPr>
        <w:pStyle w:val="Textonotapie"/>
        <w:rPr>
          <w:lang w:val="es-MX"/>
        </w:rPr>
      </w:pPr>
      <w:r w:rsidRPr="00060CB6">
        <w:rPr>
          <w:rStyle w:val="Refdenotaalpie"/>
          <w:b/>
          <w:bCs/>
        </w:rPr>
        <w:footnoteRef/>
      </w:r>
      <w:r w:rsidRPr="00060CB6">
        <w:rPr>
          <w:b/>
          <w:bCs/>
        </w:rPr>
        <w:t xml:space="preserve"> </w:t>
      </w:r>
      <w:r>
        <w:t>Plan de Fortalecimiento Institucional de la Uleam, p.p.26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620D"/>
    <w:multiLevelType w:val="hybridMultilevel"/>
    <w:tmpl w:val="C2524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917AB"/>
    <w:multiLevelType w:val="hybridMultilevel"/>
    <w:tmpl w:val="8686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237342"/>
    <w:multiLevelType w:val="hybridMultilevel"/>
    <w:tmpl w:val="A7FC038E"/>
    <w:lvl w:ilvl="0" w:tplc="59CC845E">
      <w:start w:val="1"/>
      <w:numFmt w:val="lowerLetter"/>
      <w:lvlText w:val="%1)"/>
      <w:lvlJc w:val="left"/>
      <w:pPr>
        <w:ind w:left="720" w:hanging="360"/>
      </w:pPr>
      <w:rPr>
        <w:rFonts w:ascii="Arial" w:hAnsi="Arial" w:cs="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734073"/>
    <w:multiLevelType w:val="hybridMultilevel"/>
    <w:tmpl w:val="31B69964"/>
    <w:lvl w:ilvl="0" w:tplc="407684FE">
      <w:start w:val="1"/>
      <w:numFmt w:val="bullet"/>
      <w:lvlText w:val=""/>
      <w:lvlJc w:val="center"/>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A6"/>
    <w:rsid w:val="0006623E"/>
    <w:rsid w:val="000E7DFA"/>
    <w:rsid w:val="000F33CC"/>
    <w:rsid w:val="00100B0A"/>
    <w:rsid w:val="00111F91"/>
    <w:rsid w:val="00120138"/>
    <w:rsid w:val="001B50E3"/>
    <w:rsid w:val="001B5DA0"/>
    <w:rsid w:val="001D6E74"/>
    <w:rsid w:val="002322FA"/>
    <w:rsid w:val="002F4403"/>
    <w:rsid w:val="00351A02"/>
    <w:rsid w:val="00390048"/>
    <w:rsid w:val="00492367"/>
    <w:rsid w:val="004D4D46"/>
    <w:rsid w:val="00576D82"/>
    <w:rsid w:val="0062637F"/>
    <w:rsid w:val="00653589"/>
    <w:rsid w:val="0066672B"/>
    <w:rsid w:val="006B191B"/>
    <w:rsid w:val="006F4A8C"/>
    <w:rsid w:val="00730AA7"/>
    <w:rsid w:val="00777F99"/>
    <w:rsid w:val="00780B1B"/>
    <w:rsid w:val="00793C25"/>
    <w:rsid w:val="007D487F"/>
    <w:rsid w:val="007E5379"/>
    <w:rsid w:val="007F41FF"/>
    <w:rsid w:val="00811D00"/>
    <w:rsid w:val="008126BB"/>
    <w:rsid w:val="00851F7D"/>
    <w:rsid w:val="0087665E"/>
    <w:rsid w:val="008D27AF"/>
    <w:rsid w:val="009023FC"/>
    <w:rsid w:val="009452FE"/>
    <w:rsid w:val="00946754"/>
    <w:rsid w:val="00A523BA"/>
    <w:rsid w:val="00A810E3"/>
    <w:rsid w:val="00AB2F3C"/>
    <w:rsid w:val="00BC7CF7"/>
    <w:rsid w:val="00C10CC1"/>
    <w:rsid w:val="00CA5429"/>
    <w:rsid w:val="00CF6BE7"/>
    <w:rsid w:val="00D4544F"/>
    <w:rsid w:val="00D51EDD"/>
    <w:rsid w:val="00D7514B"/>
    <w:rsid w:val="00DC689D"/>
    <w:rsid w:val="00E56DD4"/>
    <w:rsid w:val="00E922FC"/>
    <w:rsid w:val="00EA636E"/>
    <w:rsid w:val="00EC2A33"/>
    <w:rsid w:val="00F12EB7"/>
    <w:rsid w:val="00F87CA6"/>
    <w:rsid w:val="00F94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3D84"/>
  <w15:chartTrackingRefBased/>
  <w15:docId w15:val="{F8E6F4D6-1B30-46E3-B3EB-AEF8E52C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C68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689D"/>
    <w:rPr>
      <w:sz w:val="20"/>
      <w:szCs w:val="20"/>
      <w:lang w:val="es-EC"/>
    </w:rPr>
  </w:style>
  <w:style w:type="character" w:styleId="Refdenotaalpie">
    <w:name w:val="footnote reference"/>
    <w:basedOn w:val="Fuentedeprrafopredeter"/>
    <w:uiPriority w:val="99"/>
    <w:semiHidden/>
    <w:unhideWhenUsed/>
    <w:rsid w:val="00DC689D"/>
    <w:rPr>
      <w:vertAlign w:val="superscript"/>
    </w:rPr>
  </w:style>
  <w:style w:type="paragraph" w:customStyle="1" w:styleId="Default">
    <w:name w:val="Default"/>
    <w:rsid w:val="00EC2A3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CF6BE7"/>
    <w:pPr>
      <w:ind w:left="720"/>
      <w:contextualSpacing/>
    </w:pPr>
  </w:style>
  <w:style w:type="table" w:styleId="Tablaconcuadrcula">
    <w:name w:val="Table Grid"/>
    <w:basedOn w:val="Tablanormal"/>
    <w:uiPriority w:val="39"/>
    <w:rsid w:val="001B5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B9A3-F793-4893-B629-17C343ED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1939</Words>
  <Characters>10666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Klever Delgado</dc:creator>
  <cp:keywords/>
  <dc:description/>
  <cp:lastModifiedBy>Klever Delgado</cp:lastModifiedBy>
  <cp:revision>5</cp:revision>
  <dcterms:created xsi:type="dcterms:W3CDTF">2019-07-12T14:45:00Z</dcterms:created>
  <dcterms:modified xsi:type="dcterms:W3CDTF">2019-07-12T16:33:00Z</dcterms:modified>
</cp:coreProperties>
</file>